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D" w:rsidRPr="001E190D" w:rsidRDefault="001E190D" w:rsidP="001E190D">
      <w:pPr>
        <w:pStyle w:val="a3"/>
      </w:pPr>
      <w:r w:rsidRPr="001E190D">
        <w:t> </w:t>
      </w:r>
      <w:r w:rsidRPr="001E190D">
        <w:rPr>
          <w:b/>
          <w:bCs/>
        </w:rPr>
        <w:t xml:space="preserve">з 1 січня 2022 року для </w:t>
      </w:r>
      <w:proofErr w:type="spellStart"/>
      <w:r w:rsidRPr="001E190D">
        <w:rPr>
          <w:b/>
          <w:bCs/>
        </w:rPr>
        <w:t>єдинників</w:t>
      </w:r>
      <w:proofErr w:type="spellEnd"/>
      <w:r w:rsidRPr="001E190D">
        <w:rPr>
          <w:b/>
          <w:bCs/>
        </w:rPr>
        <w:t xml:space="preserve"> змінюють правила роботи з РРО</w:t>
      </w:r>
      <w:r w:rsidRPr="001E190D">
        <w:t>.</w:t>
      </w:r>
    </w:p>
    <w:p w:rsidR="001E190D" w:rsidRPr="001E190D" w:rsidRDefault="001E190D" w:rsidP="001E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19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1502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2079"/>
        <w:gridCol w:w="2446"/>
        <w:gridCol w:w="2158"/>
        <w:gridCol w:w="1840"/>
        <w:gridCol w:w="3458"/>
      </w:tblGrid>
      <w:tr w:rsidR="000649E0" w:rsidRPr="001E190D" w:rsidTr="000649E0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Група платників єдиного податку</w:t>
            </w:r>
          </w:p>
        </w:tc>
        <w:tc>
          <w:tcPr>
            <w:tcW w:w="2049" w:type="dxa"/>
            <w:vMerge w:val="restart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Річний дохід, грн </w:t>
            </w:r>
          </w:p>
        </w:tc>
        <w:tc>
          <w:tcPr>
            <w:tcW w:w="2416" w:type="dxa"/>
            <w:vMerge w:val="restart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Дозволена кількість працівників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Ставка</w:t>
            </w:r>
          </w:p>
        </w:tc>
        <w:tc>
          <w:tcPr>
            <w:tcW w:w="3413" w:type="dxa"/>
            <w:vMerge w:val="restart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 можуть бути платниками ЄП</w:t>
            </w:r>
          </w:p>
        </w:tc>
      </w:tr>
      <w:tr w:rsidR="000649E0" w:rsidRPr="001E190D" w:rsidTr="000649E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Звичайна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Підвищена</w:t>
            </w:r>
          </w:p>
        </w:tc>
        <w:tc>
          <w:tcPr>
            <w:tcW w:w="3413" w:type="dxa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E190D" w:rsidRPr="001E190D" w:rsidTr="000649E0">
        <w:trPr>
          <w:tblCellSpacing w:w="15" w:type="dxa"/>
          <w:jc w:val="center"/>
        </w:trPr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 група: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</w:t>
            </w:r>
          </w:p>
        </w:tc>
        <w:tc>
          <w:tcPr>
            <w:tcW w:w="2049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1 085 500 грн</w:t>
            </w:r>
          </w:p>
        </w:tc>
        <w:tc>
          <w:tcPr>
            <w:tcW w:w="2416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використовують працю найманих осі</w:t>
            </w:r>
            <w:bookmarkStart w:id="0" w:name="_GoBack"/>
            <w:bookmarkEnd w:id="0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10%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від прожиткового мінімуму для працездатних осіб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* (248,10 грн/міс)</w:t>
            </w:r>
          </w:p>
        </w:tc>
        <w:tc>
          <w:tcPr>
            <w:tcW w:w="0" w:type="auto"/>
            <w:vMerge w:val="restart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15%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— для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фізосіб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-підприємців у випадках, визначених </w:t>
            </w:r>
            <w:hyperlink r:id="rId4" w:anchor="pn8299" w:tgtFrame="_blank" w:history="1">
              <w:r w:rsidRPr="001E19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п. 293.4 ПКУ</w:t>
              </w:r>
            </w:hyperlink>
          </w:p>
        </w:tc>
        <w:tc>
          <w:tcPr>
            <w:tcW w:w="3413" w:type="dxa"/>
            <w:vMerge w:val="restart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Згідно з </w:t>
            </w:r>
            <w:hyperlink r:id="rId5" w:anchor="pn8180" w:tgtFrame="_blank" w:history="1">
              <w:r w:rsidRPr="001E19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п. 291.5 ПКУ:</w:t>
              </w:r>
            </w:hyperlink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Підприємці та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юрособи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, які здійснюють: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діяльність з організації, проведення азартних ігор, лотерей (крім їх розповсюдження), парі (букмекерське парі, парі тоталізатора);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обмін інвалюти;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виробництво, експорт, імпорт, продаж підакцизних товарів (крім роздрібного продажу паливно-мастильних матеріалів в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ємностях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20 літрів та діяльності фізичних осіб, пов’язаної з роздрібним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продажем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пива, сидру, пері (без додання спирту) та столових вин);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видобуток, виробництво, реалізацію дорогоцінних металів і каміння, у т. ч. органогенного утворення (крім виробництва, постачання, продажу (реалізації) ювелірних та побутових виробів з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дорогоцінних металів, каміння, дорогоцінного каміння органогенного утворення та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напівдорогоцінного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каміння);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видобуток, реалізацію корисних копалин, крім реалізації корисних копалин місцевого значення;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діяльність у сфері фінансового посередництва, крім діяльності у сфері страхування, яка здійснюється страховими агентами, визначеними Законом України «Про страхування»,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сюрвейєрами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аварійними комісарами та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аджастерами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управління підприємствами;</w:t>
            </w:r>
          </w:p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— діяльність з надання послуг пошти (крім кур’єрської діяльності), діяльність з надання послуг фіксованого телефонного зв’язку з правом технічного обслуговування та експлуатації телекомунікаційних мереж і надання в користування каналів електрозв’язку (місцевого, міжміського, міжнародного), діяльність з надання послуг фіксованого телефонного зв’язку з використанням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безпроводового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доступу до телекомунікаційної мережі з правом технічного обслуговування і надання в користування каналів електрозв’язку (місцевого, міжміського, міжнародного), діяльність з надання послуг рухомого (мобільного) телефонного зв’язку з правом технічного обслуговування та експлуатації телекомунікаційних мереж і надання в користування каналів електрозв’язку, діяльність з надання послуг з технічного обслуговування та експлуатації телекомунікаційних мереж, мереж ефірного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і радіомовлення,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проводового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радіомовлення та телемереж;</w:t>
            </w:r>
          </w:p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— надання послуг пошти (крім кур'єрської діяльності) та зв'язку (крім діяльності, що не підлягає ліцензуванню);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продаж предметів мистецтва та антикваріату, діяльність з організації торгів (аукціонів) виробами мистецтва, предметами колекціонування або антикваріату;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організацію, проведення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гастрольних заходів;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Фізособи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 підприємці, які: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здійснюють технічні випробування та дослідження, діяльність у сфері аудиту;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надають в оренду земельні ділянки загальною площею понад 0,2 га, житлові приміщення та/або їх частини, загальна площа яких перевищує 100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м, нежитлові приміщення (споруди, будівлі) та/або їх частини з загальною площею понад 300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м. Страхові (перестрахові) брокери, банки, кредитні спілки, ломбарди, лізингові компанії, довірчі товариства, страхові компанії, установи накопичувального пенсійного забезпечення, інвестиційні фонди і компанії, інші фінансові установи, визначені законом;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реєстратори цінних паперів;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Госпсуб'єкти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у статутному капіталі яких сукупність часток, що належать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юрособам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які не є платниками ЄП, дорівнює або перевищує 25%;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Представництва, філії, відділення та інші відокремлені підрозділи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яка не є платником ЄП;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Фізичні та юридичні особи — нерезиденти;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платники податків, які на день подання заяви про реєстрацію платником ЄП мають податковий борг, крім безнадійного податкового боргу, що виник внаслідок дії обставин непереборної сили (форс-мажорних обставин).</w:t>
            </w:r>
          </w:p>
        </w:tc>
      </w:tr>
      <w:tr w:rsidR="001E190D" w:rsidRPr="001E190D" w:rsidTr="000649E0">
        <w:trPr>
          <w:tblCellSpacing w:w="15" w:type="dxa"/>
          <w:jc w:val="center"/>
        </w:trPr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група: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</w:t>
            </w:r>
          </w:p>
        </w:tc>
        <w:tc>
          <w:tcPr>
            <w:tcW w:w="2049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5 421 000 грн</w:t>
            </w:r>
          </w:p>
        </w:tc>
        <w:tc>
          <w:tcPr>
            <w:tcW w:w="2416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використовують працю найманих осіб або кількість осіб, які перебувають з ними у трудових відносинах, одночасно не перевищує 10 осіб**</w:t>
            </w:r>
          </w:p>
        </w:tc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20%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МЗП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* (1300 грн/міс.)</w:t>
            </w:r>
          </w:p>
        </w:tc>
        <w:tc>
          <w:tcPr>
            <w:tcW w:w="0" w:type="auto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E190D" w:rsidRPr="001E190D" w:rsidTr="000649E0">
        <w:trPr>
          <w:tblCellSpacing w:w="15" w:type="dxa"/>
          <w:jc w:val="center"/>
        </w:trPr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 група: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фізособи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- підприємці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які не використовують працю найманих осіб або кількість осіб, які перебувають з ними у трудових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відносинах, не обмежена та 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юрособи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суб'єкти господарювання будь-якої організаційно-правової форми</w:t>
            </w:r>
          </w:p>
        </w:tc>
        <w:tc>
          <w:tcPr>
            <w:tcW w:w="2049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7 585 500 грн</w:t>
            </w:r>
          </w:p>
        </w:tc>
        <w:tc>
          <w:tcPr>
            <w:tcW w:w="2416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використовують працю найманих осіб або кількість осіб, які перебувають з ними у трудових відносинах, не обмежена</w:t>
            </w:r>
          </w:p>
        </w:tc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у відсотках до доходу: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доходу;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доходу</w:t>
            </w:r>
          </w:p>
        </w:tc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юросіб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у випадках, визначених </w:t>
            </w:r>
            <w:hyperlink r:id="rId6" w:anchor="pn8305" w:tgtFrame="_blank" w:history="1">
              <w:r w:rsidRPr="001E19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п. 293.5 ПКУ</w:t>
              </w:r>
            </w:hyperlink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зі сплатою ПДВ;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10%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без сплати ПДВ.</w:t>
            </w:r>
          </w:p>
        </w:tc>
        <w:tc>
          <w:tcPr>
            <w:tcW w:w="3413" w:type="dxa"/>
            <w:vMerge/>
            <w:vAlign w:val="center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E190D" w:rsidRPr="001E190D" w:rsidTr="000649E0">
        <w:trPr>
          <w:tblCellSpacing w:w="15" w:type="dxa"/>
          <w:jc w:val="center"/>
        </w:trPr>
        <w:tc>
          <w:tcPr>
            <w:tcW w:w="0" w:type="auto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4 група: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сільсько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-господарські товаровиробники</w:t>
            </w:r>
          </w:p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а)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юрособи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незалежно від організаційно-правової форми;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б)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фізособи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- підприємці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які провадять діяльність виключно в межах фермерського господарства, зареєстрованого відповідно до </w:t>
            </w:r>
            <w:hyperlink r:id="rId7" w:tgtFrame="_blank" w:history="1">
              <w:r w:rsidRPr="001E19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Закону "Про фермерське господарство" </w:t>
              </w:r>
            </w:hyperlink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 умови виконання сукупності таких вимог: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- здійснюють виключно вирощування, відгодовування сільгосппродукції, збирання, вилов, переробку такої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власновирощеної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відгодованої продукції та її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продаж;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- провадять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госпдіяльність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(крім постачання) за місцем податкової адреси;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- членами фермерського господарства такої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фізсоби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 лише члени її сім’ї у визначенні частини другої ст. 3 СКУ;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- площа сільгоспугідь та/або земель водного фонду у власності та/або користуванні членів фермерського господарства не менше 2 га, але не більше 20 га</w:t>
            </w:r>
          </w:p>
        </w:tc>
        <w:tc>
          <w:tcPr>
            <w:tcW w:w="2049" w:type="dxa"/>
            <w:hideMark/>
          </w:tcPr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 xml:space="preserve">для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юросіб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- частка с/г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товаровиробництва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попередній податковий (звітний) рік дорівнює або перевищує 75%</w:t>
            </w:r>
          </w:p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6" w:type="dxa"/>
            <w:hideMark/>
          </w:tcPr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юросіб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- не обмежено</w:t>
            </w:r>
          </w:p>
          <w:p w:rsidR="001E190D" w:rsidRPr="001E190D" w:rsidRDefault="001E190D" w:rsidP="001E1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фізосіб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-підприємців - 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використовують працю найманих осіб</w:t>
            </w:r>
          </w:p>
        </w:tc>
        <w:tc>
          <w:tcPr>
            <w:tcW w:w="0" w:type="auto"/>
            <w:gridSpan w:val="2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ставок податку з 1 га с/г угідь та/або земель водного фонду залежить від категорії (типу) земель, їх розташування. У відсотках бази він становить: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для ріллі, сіножатей і пасовищ (крім ріллі, сіножатей і пасовищ, розташованих у гірських зонах та на поліських територіях, а також сільськогосподарських угідь, що перебувають в умовах закритого ґрунту) розмір ставок податку з одного гектара буде встановлено на рівні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0,95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для ріллі, сіножатей і пасовищ, розташованих у гірських зонах та на поліських територіях, 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0,57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для багаторічних насаджень (крім багаторічних насаджень, розташованих у гірських зонах та на поліських територіях) 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0,57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для багаторічних насаджень, розташованих у гірських зонах та на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поліських територіях, 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0,19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для земель водного фонду ставка залишиться на рівні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2,43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для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 умовах оренди — </w:t>
            </w:r>
            <w:r w:rsidRPr="001E1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6,33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13" w:type="dxa"/>
            <w:hideMark/>
          </w:tcPr>
          <w:p w:rsidR="001E190D" w:rsidRPr="001E190D" w:rsidRDefault="001E190D" w:rsidP="001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Згідно з </w:t>
            </w:r>
            <w:hyperlink r:id="rId8" w:anchor="pn8199" w:tgtFrame="_blank" w:history="1">
              <w:r w:rsidRPr="001E19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п. 291.5-1ПКУ </w:t>
              </w:r>
              <w:proofErr w:type="spellStart"/>
            </w:hyperlink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госпсуб'єкти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— у яких понад 50% доходу, отриманого від продажу с/г продукції власного виробництва та продуктів її переробки, становить дохід від реалізації декоративних рослин (за винятком зрізаних квітів, вирощених на угіддях, які належать с/г товаровиробнику на праві власності або надані йому в користування, та продуктів їх переробки), диких тварин і птахів, хутряних виробів і хутра (крім хутрової сировини);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які провадять діяльність з виробництва підакцизних товарів, крім виноматеріалів виноградних (коди згідно з УКТ ЗЕД 2204 29 - 2204 30), вироблених на підприємствах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первинного виноробства для підприємств вторинного виноробства, які використовують такі виноматеріали для виробництва готової продукції, вин виноградних, вин плодово-ягідних та/або напоїв медових, вироблених та розлитих у споживчу тару малими виробництвами виноробної продукції з виноматеріалів виключно власного виробництва (не придбаних), отриманих шляхом переробки плодів, ягід, винограду, меду власного виробництва, а також крім електричної енергії, виробленої кваліфікованими </w:t>
            </w:r>
            <w:proofErr w:type="spellStart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когенераційними</w:t>
            </w:r>
            <w:proofErr w:type="spellEnd"/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установками та/або з відновлюваних джерел енергії (за умови, що дохід від реалізації такої енергії не перевищує 25 відсотків доходу від реалізації продукції (товарів, робіт, послуг) такого суб’єкта господарювання);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— які станом на 1 січня базового (звітного) року мають податковий борг, за винятком безнадійного податкового боргу, який виник внаслідок дії </w:t>
            </w:r>
            <w:r w:rsidRPr="001E19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обставин непереборної сили (форс-мажорних обставин).</w:t>
            </w:r>
          </w:p>
        </w:tc>
      </w:tr>
    </w:tbl>
    <w:p w:rsidR="003D4C46" w:rsidRPr="001E190D" w:rsidRDefault="003D4C46" w:rsidP="001E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uk-UA"/>
        </w:rPr>
      </w:pPr>
    </w:p>
    <w:sectPr w:rsidR="003D4C46" w:rsidRPr="001E190D" w:rsidSect="00064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D"/>
    <w:rsid w:val="000649E0"/>
    <w:rsid w:val="00080F02"/>
    <w:rsid w:val="001367D8"/>
    <w:rsid w:val="00152B35"/>
    <w:rsid w:val="001A70DA"/>
    <w:rsid w:val="001E190D"/>
    <w:rsid w:val="002872AC"/>
    <w:rsid w:val="0029546C"/>
    <w:rsid w:val="00303515"/>
    <w:rsid w:val="003D26E2"/>
    <w:rsid w:val="003D4C46"/>
    <w:rsid w:val="004132BF"/>
    <w:rsid w:val="004D11DB"/>
    <w:rsid w:val="005224B9"/>
    <w:rsid w:val="005344CC"/>
    <w:rsid w:val="005A7561"/>
    <w:rsid w:val="00625A35"/>
    <w:rsid w:val="00634AD8"/>
    <w:rsid w:val="0069201B"/>
    <w:rsid w:val="00703D48"/>
    <w:rsid w:val="00717D48"/>
    <w:rsid w:val="007A0D0F"/>
    <w:rsid w:val="008933F2"/>
    <w:rsid w:val="00896FD9"/>
    <w:rsid w:val="008E58E1"/>
    <w:rsid w:val="00B36859"/>
    <w:rsid w:val="00C6159E"/>
    <w:rsid w:val="00D01B1C"/>
    <w:rsid w:val="00E30086"/>
    <w:rsid w:val="00EF276C"/>
    <w:rsid w:val="00F62AD4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827C-060F-4269-826D-8F65B097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1E190D"/>
    <w:rPr>
      <w:b/>
      <w:bCs/>
    </w:rPr>
  </w:style>
  <w:style w:type="character" w:styleId="a5">
    <w:name w:val="Hyperlink"/>
    <w:basedOn w:val="a0"/>
    <w:uiPriority w:val="99"/>
    <w:semiHidden/>
    <w:unhideWhenUsed/>
    <w:rsid w:val="001E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2755-17?page=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dtkt.ua/doc/973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dtkt.ua/doc/2755-17?page=46" TargetMode="External"/><Relationship Id="rId5" Type="http://schemas.openxmlformats.org/officeDocument/2006/relationships/hyperlink" Target="https://docs.dtkt.ua/doc/2755-17?page=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dtkt.ua/doc/2755-17?page=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5730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2021-12-30T19:41:00Z</dcterms:created>
  <dcterms:modified xsi:type="dcterms:W3CDTF">2021-12-30T19:44:00Z</dcterms:modified>
</cp:coreProperties>
</file>