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0F8" w:rsidRPr="009930F8" w:rsidRDefault="00A65F84" w:rsidP="009930F8">
      <w:pPr>
        <w:spacing w:after="0" w:line="507" w:lineRule="atLeast"/>
        <w:outlineLvl w:val="0"/>
        <w:rPr>
          <w:rFonts w:ascii="Times New Roman" w:eastAsia="Times New Roman" w:hAnsi="Times New Roman" w:cs="Times New Roman"/>
          <w:b/>
          <w:kern w:val="36"/>
          <w:sz w:val="24"/>
          <w:szCs w:val="24"/>
          <w:lang w:eastAsia="uk-UA"/>
        </w:rPr>
      </w:pPr>
      <w:bookmarkStart w:id="0" w:name="_GoBack"/>
      <w:r w:rsidRPr="00A65F84">
        <w:rPr>
          <w:rFonts w:ascii="Times New Roman" w:eastAsia="Times New Roman" w:hAnsi="Times New Roman" w:cs="Times New Roman"/>
          <w:b/>
          <w:kern w:val="36"/>
          <w:sz w:val="24"/>
          <w:szCs w:val="24"/>
          <w:lang w:eastAsia="uk-UA"/>
        </w:rPr>
        <w:t xml:space="preserve">Нові ставки акцизу </w:t>
      </w:r>
      <w:r w:rsidR="009930F8" w:rsidRPr="009930F8">
        <w:rPr>
          <w:rFonts w:ascii="Times New Roman" w:eastAsia="Times New Roman" w:hAnsi="Times New Roman" w:cs="Times New Roman"/>
          <w:b/>
          <w:kern w:val="36"/>
          <w:sz w:val="24"/>
          <w:szCs w:val="24"/>
          <w:lang w:eastAsia="uk-UA"/>
        </w:rPr>
        <w:t xml:space="preserve"> Закон №3878</w:t>
      </w:r>
    </w:p>
    <w:bookmarkEnd w:id="0"/>
    <w:p w:rsidR="009930F8" w:rsidRPr="009930F8" w:rsidRDefault="009930F8" w:rsidP="009930F8">
      <w:pPr>
        <w:spacing w:before="300" w:after="0" w:line="378"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З 1 вересня 2024 року діють нові, збільшені ставки акцизного податку на пальне. Водночас розширено можливості зберігання пального для генераторів.</w:t>
      </w:r>
    </w:p>
    <w:p w:rsidR="009930F8" w:rsidRPr="009930F8" w:rsidRDefault="009930F8" w:rsidP="009930F8">
      <w:pPr>
        <w:shd w:val="clear" w:color="auto" w:fill="FFFFFF"/>
        <w:spacing w:after="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1 вересня 2024 року набрав чинності Закон України </w:t>
      </w:r>
      <w:hyperlink r:id="rId5" w:history="1">
        <w:r w:rsidRPr="009930F8">
          <w:rPr>
            <w:rFonts w:ascii="Times New Roman" w:eastAsia="Times New Roman" w:hAnsi="Times New Roman" w:cs="Times New Roman"/>
            <w:sz w:val="24"/>
            <w:szCs w:val="24"/>
            <w:lang w:eastAsia="uk-UA"/>
          </w:rPr>
          <w:t>від 18.07.2024 №3878-ІХ</w:t>
        </w:r>
      </w:hyperlink>
      <w:r w:rsidRPr="009930F8">
        <w:rPr>
          <w:rFonts w:ascii="Times New Roman" w:eastAsia="Times New Roman" w:hAnsi="Times New Roman" w:cs="Times New Roman"/>
          <w:sz w:val="24"/>
          <w:szCs w:val="24"/>
          <w:lang w:eastAsia="uk-UA"/>
        </w:rPr>
        <w:t xml:space="preserve"> «Про внесення змін до Податкового кодексу України щодо імплементації положень актів права Європейського Союзу щодо акцизного податку» (далі — Закон №3878). Цей закон установлює нові ставки акцизного податку на бензин, </w:t>
      </w:r>
      <w:proofErr w:type="spellStart"/>
      <w:r w:rsidRPr="009930F8">
        <w:rPr>
          <w:rFonts w:ascii="Times New Roman" w:eastAsia="Times New Roman" w:hAnsi="Times New Roman" w:cs="Times New Roman"/>
          <w:sz w:val="24"/>
          <w:szCs w:val="24"/>
          <w:lang w:eastAsia="uk-UA"/>
        </w:rPr>
        <w:t>газойлі</w:t>
      </w:r>
      <w:proofErr w:type="spellEnd"/>
      <w:r w:rsidRPr="009930F8">
        <w:rPr>
          <w:rFonts w:ascii="Times New Roman" w:eastAsia="Times New Roman" w:hAnsi="Times New Roman" w:cs="Times New Roman"/>
          <w:sz w:val="24"/>
          <w:szCs w:val="24"/>
          <w:lang w:eastAsia="uk-UA"/>
        </w:rPr>
        <w:t xml:space="preserve"> (дизельне пальне), скраплений газ та паливо моторне альтернативне, розширює можливості зберігання пального для генераторів, а також вносить ще декілька змін до ПКУ та до </w:t>
      </w:r>
      <w:hyperlink r:id="rId6" w:history="1">
        <w:r w:rsidRPr="009930F8">
          <w:rPr>
            <w:rFonts w:ascii="Times New Roman" w:eastAsia="Times New Roman" w:hAnsi="Times New Roman" w:cs="Times New Roman"/>
            <w:sz w:val="24"/>
            <w:szCs w:val="24"/>
            <w:lang w:eastAsia="uk-UA"/>
          </w:rPr>
          <w:t>Закону №3817</w:t>
        </w:r>
      </w:hyperlink>
      <w:r w:rsidRPr="009930F8">
        <w:rPr>
          <w:rFonts w:ascii="Times New Roman" w:eastAsia="Times New Roman" w:hAnsi="Times New Roman" w:cs="Times New Roman"/>
          <w:sz w:val="24"/>
          <w:szCs w:val="24"/>
          <w:lang w:eastAsia="uk-UA"/>
        </w:rPr>
        <w:t>.</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b/>
          <w:bCs/>
          <w:sz w:val="24"/>
          <w:szCs w:val="24"/>
          <w:lang w:eastAsia="uk-UA"/>
        </w:rPr>
        <w:t>Нові ставки акцизного податку на пальне</w:t>
      </w:r>
    </w:p>
    <w:p w:rsidR="009930F8" w:rsidRPr="009930F8" w:rsidRDefault="009930F8" w:rsidP="009930F8">
      <w:pPr>
        <w:shd w:val="clear" w:color="auto" w:fill="FFFFFF"/>
        <w:spacing w:after="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Ставки акцизу на пальне визначені у </w:t>
      </w:r>
      <w:proofErr w:type="spellStart"/>
      <w:r w:rsidRPr="009930F8">
        <w:rPr>
          <w:rFonts w:ascii="Times New Roman" w:eastAsia="Times New Roman" w:hAnsi="Times New Roman" w:cs="Times New Roman"/>
          <w:sz w:val="24"/>
          <w:szCs w:val="24"/>
          <w:lang w:eastAsia="uk-UA"/>
        </w:rPr>
        <w:fldChar w:fldCharType="begin"/>
      </w:r>
      <w:r w:rsidRPr="009930F8">
        <w:rPr>
          <w:rFonts w:ascii="Times New Roman" w:eastAsia="Times New Roman" w:hAnsi="Times New Roman" w:cs="Times New Roman"/>
          <w:sz w:val="24"/>
          <w:szCs w:val="24"/>
          <w:lang w:eastAsia="uk-UA"/>
        </w:rPr>
        <w:instrText xml:space="preserve"> HYPERLINK "https://docs.dtkt.ua/doc/1011.47.281?page=48" \l "pn6973" </w:instrText>
      </w:r>
      <w:r w:rsidRPr="009930F8">
        <w:rPr>
          <w:rFonts w:ascii="Times New Roman" w:eastAsia="Times New Roman" w:hAnsi="Times New Roman" w:cs="Times New Roman"/>
          <w:sz w:val="24"/>
          <w:szCs w:val="24"/>
          <w:lang w:eastAsia="uk-UA"/>
        </w:rPr>
        <w:fldChar w:fldCharType="separate"/>
      </w:r>
      <w:r w:rsidRPr="009930F8">
        <w:rPr>
          <w:rFonts w:ascii="Times New Roman" w:eastAsia="Times New Roman" w:hAnsi="Times New Roman" w:cs="Times New Roman"/>
          <w:sz w:val="24"/>
          <w:szCs w:val="24"/>
          <w:lang w:eastAsia="uk-UA"/>
        </w:rPr>
        <w:t>пп</w:t>
      </w:r>
      <w:proofErr w:type="spellEnd"/>
      <w:r w:rsidRPr="009930F8">
        <w:rPr>
          <w:rFonts w:ascii="Times New Roman" w:eastAsia="Times New Roman" w:hAnsi="Times New Roman" w:cs="Times New Roman"/>
          <w:sz w:val="24"/>
          <w:szCs w:val="24"/>
          <w:lang w:eastAsia="uk-UA"/>
        </w:rPr>
        <w:t>. 215.3.4 ПКУ</w:t>
      </w:r>
      <w:r w:rsidRPr="009930F8">
        <w:rPr>
          <w:rFonts w:ascii="Times New Roman" w:eastAsia="Times New Roman" w:hAnsi="Times New Roman" w:cs="Times New Roman"/>
          <w:sz w:val="24"/>
          <w:szCs w:val="24"/>
          <w:lang w:eastAsia="uk-UA"/>
        </w:rPr>
        <w:fldChar w:fldCharType="end"/>
      </w:r>
      <w:r w:rsidRPr="009930F8">
        <w:rPr>
          <w:rFonts w:ascii="Times New Roman" w:eastAsia="Times New Roman" w:hAnsi="Times New Roman" w:cs="Times New Roman"/>
          <w:sz w:val="24"/>
          <w:szCs w:val="24"/>
          <w:lang w:eastAsia="uk-UA"/>
        </w:rPr>
        <w:t>. Це норма розділу VI ПКУ, яка часто доповнюється тимчасовими нормами підрозділу 5 розділу XX «Перехідні положення» ПКУ. Так сталося і цього разу.</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 xml:space="preserve">У </w:t>
      </w:r>
      <w:proofErr w:type="spellStart"/>
      <w:r w:rsidRPr="009930F8">
        <w:rPr>
          <w:rFonts w:ascii="Times New Roman" w:eastAsia="Times New Roman" w:hAnsi="Times New Roman" w:cs="Times New Roman"/>
          <w:sz w:val="24"/>
          <w:szCs w:val="24"/>
          <w:lang w:eastAsia="uk-UA"/>
        </w:rPr>
        <w:t>пп</w:t>
      </w:r>
      <w:proofErr w:type="spellEnd"/>
      <w:r w:rsidRPr="009930F8">
        <w:rPr>
          <w:rFonts w:ascii="Times New Roman" w:eastAsia="Times New Roman" w:hAnsi="Times New Roman" w:cs="Times New Roman"/>
          <w:sz w:val="24"/>
          <w:szCs w:val="24"/>
          <w:lang w:eastAsia="uk-UA"/>
        </w:rPr>
        <w:t>. 215.3.4 ПКУ визначено ставки акцизу, які діятимуть з 1 січня 2028 року, а поступовий перехід до цих ставок у період з 1 вересня 2024 року до 31 грудня 2027 року включно визначено у новому п. 48 підрозділу 5 розділу XX «Перехідні положення» ПКУ.</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 xml:space="preserve">Ставки збільшуватимуться чотири рази: з 1 вересня 2024 року, а потім підвищуватимуться з 1 січня 2025, 2026 та 2027 року. Так поступово до 1 січня 2028 року ми прийдемо до тих ставок, які зазначені у </w:t>
      </w:r>
      <w:proofErr w:type="spellStart"/>
      <w:r w:rsidRPr="009930F8">
        <w:rPr>
          <w:rFonts w:ascii="Times New Roman" w:eastAsia="Times New Roman" w:hAnsi="Times New Roman" w:cs="Times New Roman"/>
          <w:sz w:val="24"/>
          <w:szCs w:val="24"/>
          <w:lang w:eastAsia="uk-UA"/>
        </w:rPr>
        <w:t>пп</w:t>
      </w:r>
      <w:proofErr w:type="spellEnd"/>
      <w:r w:rsidRPr="009930F8">
        <w:rPr>
          <w:rFonts w:ascii="Times New Roman" w:eastAsia="Times New Roman" w:hAnsi="Times New Roman" w:cs="Times New Roman"/>
          <w:sz w:val="24"/>
          <w:szCs w:val="24"/>
          <w:lang w:eastAsia="uk-UA"/>
        </w:rPr>
        <w:t>. 215.3.4 ПКУ, — з огляду на їх мінімальний рівень, передбачений Директивою Ради 2003/96/ЄС від 27 жовтня 2003 року про реструктуризацію системи Співтовариства для оподаткування енергетичних продуктів та електроенергії.</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Зокрема, </w:t>
      </w:r>
      <w:r w:rsidRPr="009930F8">
        <w:rPr>
          <w:rFonts w:ascii="Times New Roman" w:eastAsia="Times New Roman" w:hAnsi="Times New Roman" w:cs="Times New Roman"/>
          <w:b/>
          <w:bCs/>
          <w:sz w:val="24"/>
          <w:szCs w:val="24"/>
          <w:lang w:eastAsia="uk-UA"/>
        </w:rPr>
        <w:t>з 1 вересня 2024 року до 31 грудня 2024 року</w:t>
      </w:r>
      <w:r w:rsidRPr="009930F8">
        <w:rPr>
          <w:rFonts w:ascii="Times New Roman" w:eastAsia="Times New Roman" w:hAnsi="Times New Roman" w:cs="Times New Roman"/>
          <w:sz w:val="24"/>
          <w:szCs w:val="24"/>
          <w:lang w:eastAsia="uk-UA"/>
        </w:rPr>
        <w:t> включно встановлено такі ставки акцизного податку:</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 на бензини — 242,6 євро за 1 000 літрів, із подальшим збільшенням до 359 євро за 1 000 літрів у період до 1 січня 2028;</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 xml:space="preserve">— на </w:t>
      </w:r>
      <w:proofErr w:type="spellStart"/>
      <w:r w:rsidRPr="009930F8">
        <w:rPr>
          <w:rFonts w:ascii="Times New Roman" w:eastAsia="Times New Roman" w:hAnsi="Times New Roman" w:cs="Times New Roman"/>
          <w:sz w:val="24"/>
          <w:szCs w:val="24"/>
          <w:lang w:eastAsia="uk-UA"/>
        </w:rPr>
        <w:t>газойлі</w:t>
      </w:r>
      <w:proofErr w:type="spellEnd"/>
      <w:r w:rsidRPr="009930F8">
        <w:rPr>
          <w:rFonts w:ascii="Times New Roman" w:eastAsia="Times New Roman" w:hAnsi="Times New Roman" w:cs="Times New Roman"/>
          <w:sz w:val="24"/>
          <w:szCs w:val="24"/>
          <w:lang w:eastAsia="uk-UA"/>
        </w:rPr>
        <w:t xml:space="preserve"> (дизельне пальне) — 177,6 євро за 1 000 літрів, із подальшим збільшенням до 330 євро за 1 000 літрів у період до 1 січня 2028;</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 на скраплений газ — 148 євро за 1 000 літрів, із подальшим збільшенням до 250 євро за 1 000 літрів у період до 1 січня 2028;</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 на паливо моторне альтернативне — 184,08 євро за 1 000 літрів, із подальшим збільшенням до 272,4 євро за 1 000 літрів у період до 1 січня 2028.</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Різні ставки підвищуються з різною швидкістю, і ми </w:t>
      </w:r>
      <w:r w:rsidRPr="009930F8">
        <w:rPr>
          <w:rFonts w:ascii="Times New Roman" w:eastAsia="Times New Roman" w:hAnsi="Times New Roman" w:cs="Times New Roman"/>
          <w:i/>
          <w:iCs/>
          <w:sz w:val="24"/>
          <w:szCs w:val="24"/>
          <w:lang w:eastAsia="uk-UA"/>
        </w:rPr>
        <w:t>у таблиці</w:t>
      </w:r>
      <w:r w:rsidRPr="009930F8">
        <w:rPr>
          <w:rFonts w:ascii="Times New Roman" w:eastAsia="Times New Roman" w:hAnsi="Times New Roman" w:cs="Times New Roman"/>
          <w:sz w:val="24"/>
          <w:szCs w:val="24"/>
          <w:lang w:eastAsia="uk-UA"/>
        </w:rPr>
        <w:t> показали темп підвищення для двох найпоширеніших ставок: 213,5 євро та 139,5 євро за 1 000 літрів. Друга ставка підвищується швидше.</w:t>
      </w:r>
    </w:p>
    <w:p w:rsidR="009930F8" w:rsidRPr="009930F8" w:rsidRDefault="009930F8" w:rsidP="009930F8">
      <w:pPr>
        <w:shd w:val="clear" w:color="auto" w:fill="FFFFFF"/>
        <w:spacing w:after="150" w:line="360" w:lineRule="atLeast"/>
        <w:jc w:val="righ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lastRenderedPageBreak/>
        <w:t>Таблиця</w:t>
      </w:r>
    </w:p>
    <w:p w:rsidR="009930F8" w:rsidRPr="009930F8" w:rsidRDefault="009930F8" w:rsidP="009930F8">
      <w:pPr>
        <w:shd w:val="clear" w:color="auto" w:fill="FFFFFF"/>
        <w:spacing w:line="360"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b/>
          <w:bCs/>
          <w:sz w:val="24"/>
          <w:szCs w:val="24"/>
          <w:lang w:eastAsia="uk-UA"/>
        </w:rPr>
        <w:t>Підвищення ставок акцизного податку 213,5 євро та 139,5 євро за 1 000 літрів</w:t>
      </w:r>
    </w:p>
    <w:tbl>
      <w:tblPr>
        <w:tblW w:w="4750" w:type="pct"/>
        <w:jc w:val="center"/>
        <w:tblCellMar>
          <w:top w:w="30" w:type="dxa"/>
          <w:left w:w="30" w:type="dxa"/>
          <w:bottom w:w="30" w:type="dxa"/>
          <w:right w:w="30" w:type="dxa"/>
        </w:tblCellMar>
        <w:tblLook w:val="04A0" w:firstRow="1" w:lastRow="0" w:firstColumn="1" w:lastColumn="0" w:noHBand="0" w:noVBand="1"/>
      </w:tblPr>
      <w:tblGrid>
        <w:gridCol w:w="1646"/>
        <w:gridCol w:w="1569"/>
        <w:gridCol w:w="2053"/>
        <w:gridCol w:w="1560"/>
        <w:gridCol w:w="2044"/>
      </w:tblGrid>
      <w:tr w:rsidR="009930F8" w:rsidRPr="009930F8" w:rsidTr="009930F8">
        <w:trPr>
          <w:jc w:val="center"/>
        </w:trPr>
        <w:tc>
          <w:tcPr>
            <w:tcW w:w="0" w:type="auto"/>
            <w:vMerge w:val="restart"/>
            <w:tcBorders>
              <w:top w:val="single" w:sz="6" w:space="0" w:color="EDEDEF"/>
              <w:left w:val="single" w:sz="6" w:space="0" w:color="EDEDEF"/>
              <w:bottom w:val="single" w:sz="6" w:space="0" w:color="EDEDEF"/>
              <w:right w:val="single" w:sz="6" w:space="0" w:color="EDEDEF"/>
            </w:tcBorders>
            <w:shd w:val="clear" w:color="auto" w:fill="CCCCCC"/>
            <w:tcMar>
              <w:top w:w="60" w:type="dxa"/>
              <w:left w:w="300" w:type="dxa"/>
              <w:bottom w:w="60" w:type="dxa"/>
              <w:right w:w="300" w:type="dxa"/>
            </w:tcMar>
            <w:vAlign w:val="center"/>
            <w:hideMark/>
          </w:tcPr>
          <w:p w:rsidR="009930F8" w:rsidRPr="009930F8" w:rsidRDefault="009930F8" w:rsidP="009930F8">
            <w:pPr>
              <w:spacing w:after="0" w:line="315" w:lineRule="atLeast"/>
              <w:jc w:val="center"/>
              <w:rPr>
                <w:rFonts w:ascii="Times New Roman" w:eastAsia="Times New Roman" w:hAnsi="Times New Roman" w:cs="Times New Roman"/>
                <w:b/>
                <w:bCs/>
                <w:sz w:val="24"/>
                <w:szCs w:val="24"/>
                <w:lang w:eastAsia="uk-UA"/>
              </w:rPr>
            </w:pPr>
            <w:r w:rsidRPr="009930F8">
              <w:rPr>
                <w:rFonts w:ascii="Times New Roman" w:eastAsia="Times New Roman" w:hAnsi="Times New Roman" w:cs="Times New Roman"/>
                <w:b/>
                <w:bCs/>
                <w:sz w:val="24"/>
                <w:szCs w:val="24"/>
                <w:lang w:eastAsia="uk-UA"/>
              </w:rPr>
              <w:t>Період дії ставки</w:t>
            </w:r>
          </w:p>
        </w:tc>
        <w:tc>
          <w:tcPr>
            <w:tcW w:w="0" w:type="auto"/>
            <w:gridSpan w:val="2"/>
            <w:tcBorders>
              <w:top w:val="single" w:sz="6" w:space="0" w:color="EDEDEF"/>
              <w:left w:val="single" w:sz="6" w:space="0" w:color="EDEDEF"/>
              <w:bottom w:val="single" w:sz="6" w:space="0" w:color="EDEDEF"/>
              <w:right w:val="single" w:sz="6" w:space="0" w:color="EDEDEF"/>
            </w:tcBorders>
            <w:shd w:val="clear" w:color="auto" w:fill="CCCCCC"/>
            <w:tcMar>
              <w:top w:w="60" w:type="dxa"/>
              <w:left w:w="300" w:type="dxa"/>
              <w:bottom w:w="60" w:type="dxa"/>
              <w:right w:w="300" w:type="dxa"/>
            </w:tcMar>
            <w:vAlign w:val="center"/>
            <w:hideMark/>
          </w:tcPr>
          <w:p w:rsidR="009930F8" w:rsidRPr="009930F8" w:rsidRDefault="009930F8" w:rsidP="009930F8">
            <w:pPr>
              <w:spacing w:after="0" w:line="315" w:lineRule="atLeast"/>
              <w:jc w:val="center"/>
              <w:rPr>
                <w:rFonts w:ascii="Times New Roman" w:eastAsia="Times New Roman" w:hAnsi="Times New Roman" w:cs="Times New Roman"/>
                <w:b/>
                <w:bCs/>
                <w:sz w:val="24"/>
                <w:szCs w:val="24"/>
                <w:lang w:eastAsia="uk-UA"/>
              </w:rPr>
            </w:pPr>
            <w:r w:rsidRPr="009930F8">
              <w:rPr>
                <w:rFonts w:ascii="Times New Roman" w:eastAsia="Times New Roman" w:hAnsi="Times New Roman" w:cs="Times New Roman"/>
                <w:b/>
                <w:bCs/>
                <w:sz w:val="24"/>
                <w:szCs w:val="24"/>
                <w:lang w:eastAsia="uk-UA"/>
              </w:rPr>
              <w:t>Суміші ароматичних вуглеводнів, легкі та середні дистиляти та ін.</w:t>
            </w:r>
          </w:p>
        </w:tc>
        <w:tc>
          <w:tcPr>
            <w:tcW w:w="0" w:type="auto"/>
            <w:gridSpan w:val="2"/>
            <w:tcBorders>
              <w:top w:val="single" w:sz="6" w:space="0" w:color="EDEDEF"/>
              <w:left w:val="single" w:sz="6" w:space="0" w:color="EDEDEF"/>
              <w:bottom w:val="single" w:sz="6" w:space="0" w:color="EDEDEF"/>
              <w:right w:val="single" w:sz="6" w:space="0" w:color="EDEDEF"/>
            </w:tcBorders>
            <w:shd w:val="clear" w:color="auto" w:fill="CCCCCC"/>
            <w:tcMar>
              <w:top w:w="60" w:type="dxa"/>
              <w:left w:w="300" w:type="dxa"/>
              <w:bottom w:w="60" w:type="dxa"/>
              <w:right w:w="300" w:type="dxa"/>
            </w:tcMar>
            <w:vAlign w:val="center"/>
            <w:hideMark/>
          </w:tcPr>
          <w:p w:rsidR="009930F8" w:rsidRPr="009930F8" w:rsidRDefault="009930F8" w:rsidP="009930F8">
            <w:pPr>
              <w:spacing w:after="0" w:line="315" w:lineRule="atLeast"/>
              <w:jc w:val="center"/>
              <w:rPr>
                <w:rFonts w:ascii="Times New Roman" w:eastAsia="Times New Roman" w:hAnsi="Times New Roman" w:cs="Times New Roman"/>
                <w:b/>
                <w:bCs/>
                <w:sz w:val="24"/>
                <w:szCs w:val="24"/>
                <w:lang w:eastAsia="uk-UA"/>
              </w:rPr>
            </w:pPr>
            <w:r w:rsidRPr="009930F8">
              <w:rPr>
                <w:rFonts w:ascii="Times New Roman" w:eastAsia="Times New Roman" w:hAnsi="Times New Roman" w:cs="Times New Roman"/>
                <w:b/>
                <w:bCs/>
                <w:sz w:val="24"/>
                <w:szCs w:val="24"/>
                <w:lang w:eastAsia="uk-UA"/>
              </w:rPr>
              <w:t>Важкі дистиляти (</w:t>
            </w:r>
            <w:proofErr w:type="spellStart"/>
            <w:r w:rsidRPr="009930F8">
              <w:rPr>
                <w:rFonts w:ascii="Times New Roman" w:eastAsia="Times New Roman" w:hAnsi="Times New Roman" w:cs="Times New Roman"/>
                <w:b/>
                <w:bCs/>
                <w:sz w:val="24"/>
                <w:szCs w:val="24"/>
                <w:lang w:eastAsia="uk-UA"/>
              </w:rPr>
              <w:t>газойль</w:t>
            </w:r>
            <w:proofErr w:type="spellEnd"/>
            <w:r w:rsidRPr="009930F8">
              <w:rPr>
                <w:rFonts w:ascii="Times New Roman" w:eastAsia="Times New Roman" w:hAnsi="Times New Roman" w:cs="Times New Roman"/>
                <w:b/>
                <w:bCs/>
                <w:sz w:val="24"/>
                <w:szCs w:val="24"/>
                <w:lang w:eastAsia="uk-UA"/>
              </w:rPr>
              <w:t>), мазут та ін.</w:t>
            </w:r>
          </w:p>
        </w:tc>
      </w:tr>
      <w:tr w:rsidR="009930F8" w:rsidRPr="009930F8" w:rsidTr="009930F8">
        <w:trPr>
          <w:jc w:val="center"/>
        </w:trPr>
        <w:tc>
          <w:tcPr>
            <w:tcW w:w="0" w:type="auto"/>
            <w:vMerge/>
            <w:tcBorders>
              <w:top w:val="single" w:sz="6" w:space="0" w:color="EDEDEF"/>
              <w:left w:val="single" w:sz="6" w:space="0" w:color="EDEDEF"/>
              <w:bottom w:val="single" w:sz="6" w:space="0" w:color="EDEDEF"/>
              <w:right w:val="single" w:sz="6" w:space="0" w:color="EDEDEF"/>
            </w:tcBorders>
            <w:vAlign w:val="center"/>
            <w:hideMark/>
          </w:tcPr>
          <w:p w:rsidR="009930F8" w:rsidRPr="009930F8" w:rsidRDefault="009930F8" w:rsidP="009930F8">
            <w:pPr>
              <w:spacing w:after="0" w:line="315" w:lineRule="atLeast"/>
              <w:rPr>
                <w:rFonts w:ascii="Times New Roman" w:eastAsia="Times New Roman" w:hAnsi="Times New Roman" w:cs="Times New Roman"/>
                <w:b/>
                <w:bCs/>
                <w:sz w:val="24"/>
                <w:szCs w:val="24"/>
                <w:lang w:eastAsia="uk-UA"/>
              </w:rPr>
            </w:pPr>
          </w:p>
        </w:tc>
        <w:tc>
          <w:tcPr>
            <w:tcW w:w="0" w:type="auto"/>
            <w:tcBorders>
              <w:top w:val="single" w:sz="6" w:space="0" w:color="EDEDEF"/>
              <w:left w:val="single" w:sz="6" w:space="0" w:color="EDEDEF"/>
              <w:bottom w:val="single" w:sz="6" w:space="0" w:color="EDEDEF"/>
              <w:right w:val="single" w:sz="6" w:space="0" w:color="EDEDEF"/>
            </w:tcBorders>
            <w:shd w:val="clear" w:color="auto" w:fill="CCCCCC"/>
            <w:tcMar>
              <w:top w:w="60" w:type="dxa"/>
              <w:left w:w="300" w:type="dxa"/>
              <w:bottom w:w="60" w:type="dxa"/>
              <w:right w:w="300" w:type="dxa"/>
            </w:tcMar>
            <w:vAlign w:val="cente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b/>
                <w:bCs/>
                <w:sz w:val="24"/>
                <w:szCs w:val="24"/>
                <w:lang w:eastAsia="uk-UA"/>
              </w:rPr>
              <w:t>Ставка, євро за 1 000 літрів</w:t>
            </w:r>
          </w:p>
        </w:tc>
        <w:tc>
          <w:tcPr>
            <w:tcW w:w="0" w:type="auto"/>
            <w:tcBorders>
              <w:top w:val="single" w:sz="6" w:space="0" w:color="EDEDEF"/>
              <w:left w:val="single" w:sz="6" w:space="0" w:color="EDEDEF"/>
              <w:bottom w:val="single" w:sz="6" w:space="0" w:color="EDEDEF"/>
              <w:right w:val="single" w:sz="6" w:space="0" w:color="EDEDEF"/>
            </w:tcBorders>
            <w:shd w:val="clear" w:color="auto" w:fill="CCCCCC"/>
            <w:tcMar>
              <w:top w:w="60" w:type="dxa"/>
              <w:left w:w="300" w:type="dxa"/>
              <w:bottom w:w="60" w:type="dxa"/>
              <w:right w:w="300" w:type="dxa"/>
            </w:tcMar>
            <w:vAlign w:val="cente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b/>
                <w:bCs/>
                <w:sz w:val="24"/>
                <w:szCs w:val="24"/>
                <w:lang w:eastAsia="uk-UA"/>
              </w:rPr>
              <w:t>Збільшення, % до попередньої</w:t>
            </w:r>
          </w:p>
        </w:tc>
        <w:tc>
          <w:tcPr>
            <w:tcW w:w="0" w:type="auto"/>
            <w:tcBorders>
              <w:top w:val="single" w:sz="6" w:space="0" w:color="EDEDEF"/>
              <w:left w:val="single" w:sz="6" w:space="0" w:color="EDEDEF"/>
              <w:bottom w:val="single" w:sz="6" w:space="0" w:color="EDEDEF"/>
              <w:right w:val="single" w:sz="6" w:space="0" w:color="EDEDEF"/>
            </w:tcBorders>
            <w:shd w:val="clear" w:color="auto" w:fill="CCCCCC"/>
            <w:tcMar>
              <w:top w:w="60" w:type="dxa"/>
              <w:left w:w="300" w:type="dxa"/>
              <w:bottom w:w="60" w:type="dxa"/>
              <w:right w:w="300" w:type="dxa"/>
            </w:tcMar>
            <w:vAlign w:val="cente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b/>
                <w:bCs/>
                <w:sz w:val="24"/>
                <w:szCs w:val="24"/>
                <w:lang w:eastAsia="uk-UA"/>
              </w:rPr>
              <w:t>Ставка, євро за 1 000 літрів</w:t>
            </w:r>
          </w:p>
        </w:tc>
        <w:tc>
          <w:tcPr>
            <w:tcW w:w="0" w:type="auto"/>
            <w:tcBorders>
              <w:top w:val="single" w:sz="6" w:space="0" w:color="EDEDEF"/>
              <w:left w:val="single" w:sz="6" w:space="0" w:color="EDEDEF"/>
              <w:bottom w:val="single" w:sz="6" w:space="0" w:color="EDEDEF"/>
              <w:right w:val="single" w:sz="6" w:space="0" w:color="EDEDEF"/>
            </w:tcBorders>
            <w:shd w:val="clear" w:color="auto" w:fill="CCCCCC"/>
            <w:tcMar>
              <w:top w:w="60" w:type="dxa"/>
              <w:left w:w="300" w:type="dxa"/>
              <w:bottom w:w="60" w:type="dxa"/>
              <w:right w:w="300" w:type="dxa"/>
            </w:tcMar>
            <w:vAlign w:val="cente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b/>
                <w:bCs/>
                <w:sz w:val="24"/>
                <w:szCs w:val="24"/>
                <w:lang w:eastAsia="uk-UA"/>
              </w:rPr>
              <w:t>Збільшення, % до попередньої</w:t>
            </w:r>
          </w:p>
        </w:tc>
      </w:tr>
      <w:tr w:rsidR="009930F8" w:rsidRPr="009930F8" w:rsidTr="009930F8">
        <w:trPr>
          <w:jc w:val="center"/>
        </w:trPr>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До 1 вересня 2024</w:t>
            </w:r>
          </w:p>
        </w:tc>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213,5</w:t>
            </w:r>
          </w:p>
        </w:tc>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w:t>
            </w:r>
          </w:p>
        </w:tc>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139,5</w:t>
            </w:r>
          </w:p>
        </w:tc>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w:t>
            </w:r>
          </w:p>
        </w:tc>
      </w:tr>
      <w:tr w:rsidR="009930F8" w:rsidRPr="009930F8" w:rsidTr="009930F8">
        <w:trPr>
          <w:jc w:val="center"/>
        </w:trPr>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З 1 вересня до 31 грудня 2024 включно</w:t>
            </w:r>
          </w:p>
        </w:tc>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242,6</w:t>
            </w:r>
          </w:p>
        </w:tc>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13.6</w:t>
            </w:r>
          </w:p>
        </w:tc>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177,6</w:t>
            </w:r>
          </w:p>
        </w:tc>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27.3</w:t>
            </w:r>
          </w:p>
        </w:tc>
      </w:tr>
      <w:tr w:rsidR="009930F8" w:rsidRPr="009930F8" w:rsidTr="009930F8">
        <w:trPr>
          <w:jc w:val="center"/>
        </w:trPr>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З 1 січня до 31 грудня 2025 включно</w:t>
            </w:r>
          </w:p>
        </w:tc>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271,7</w:t>
            </w:r>
          </w:p>
        </w:tc>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12</w:t>
            </w:r>
          </w:p>
        </w:tc>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215,7</w:t>
            </w:r>
          </w:p>
        </w:tc>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21.5</w:t>
            </w:r>
          </w:p>
        </w:tc>
      </w:tr>
      <w:tr w:rsidR="009930F8" w:rsidRPr="009930F8" w:rsidTr="009930F8">
        <w:trPr>
          <w:jc w:val="center"/>
        </w:trPr>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З 1 січня до 31 грудня 2026 включно</w:t>
            </w:r>
          </w:p>
        </w:tc>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300,8</w:t>
            </w:r>
          </w:p>
        </w:tc>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10.7</w:t>
            </w:r>
          </w:p>
        </w:tc>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253,8</w:t>
            </w:r>
          </w:p>
        </w:tc>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17.7</w:t>
            </w:r>
          </w:p>
        </w:tc>
      </w:tr>
      <w:tr w:rsidR="009930F8" w:rsidRPr="009930F8" w:rsidTr="009930F8">
        <w:trPr>
          <w:jc w:val="center"/>
        </w:trPr>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З 1 січня до 31 грудня 2027 включно</w:t>
            </w:r>
          </w:p>
        </w:tc>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329,9</w:t>
            </w:r>
          </w:p>
        </w:tc>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9.7</w:t>
            </w:r>
          </w:p>
        </w:tc>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291,9</w:t>
            </w:r>
          </w:p>
        </w:tc>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15</w:t>
            </w:r>
          </w:p>
        </w:tc>
      </w:tr>
      <w:tr w:rsidR="009930F8" w:rsidRPr="009930F8" w:rsidTr="009930F8">
        <w:trPr>
          <w:jc w:val="center"/>
        </w:trPr>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З 1 січня 2028</w:t>
            </w:r>
          </w:p>
        </w:tc>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359</w:t>
            </w:r>
          </w:p>
        </w:tc>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8.8</w:t>
            </w:r>
          </w:p>
        </w:tc>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330</w:t>
            </w:r>
          </w:p>
        </w:tc>
        <w:tc>
          <w:tcPr>
            <w:tcW w:w="0" w:type="auto"/>
            <w:tcBorders>
              <w:top w:val="single" w:sz="6" w:space="0" w:color="EDEDEF"/>
              <w:left w:val="single" w:sz="6" w:space="0" w:color="EDEDEF"/>
              <w:bottom w:val="single" w:sz="6" w:space="0" w:color="EDEDEF"/>
              <w:right w:val="single" w:sz="6" w:space="0" w:color="EDEDEF"/>
            </w:tcBorders>
            <w:tcMar>
              <w:top w:w="60" w:type="dxa"/>
              <w:left w:w="300" w:type="dxa"/>
              <w:bottom w:w="60" w:type="dxa"/>
              <w:right w:w="300" w:type="dxa"/>
            </w:tcMar>
            <w:hideMark/>
          </w:tcPr>
          <w:p w:rsidR="009930F8" w:rsidRPr="009930F8" w:rsidRDefault="009930F8" w:rsidP="009930F8">
            <w:pPr>
              <w:spacing w:after="0" w:line="315" w:lineRule="atLeast"/>
              <w:jc w:val="center"/>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13.1</w:t>
            </w:r>
          </w:p>
        </w:tc>
      </w:tr>
    </w:tbl>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Отже, з 1 вересня 2024 року почали діяти ставки першого перехідного періоду, який триватиме до 31 грудня 2024 року включно.</w:t>
      </w:r>
    </w:p>
    <w:p w:rsidR="009930F8" w:rsidRPr="009930F8" w:rsidRDefault="009930F8" w:rsidP="009930F8">
      <w:pPr>
        <w:shd w:val="clear" w:color="auto" w:fill="FFFFFF"/>
        <w:spacing w:after="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Нагадаємо, що ці ставки застосовуються, зокрема, при ввезенні підакцизних товарів на митну територію України (</w:t>
      </w:r>
      <w:proofErr w:type="spellStart"/>
      <w:r w:rsidRPr="009930F8">
        <w:rPr>
          <w:rFonts w:ascii="Times New Roman" w:eastAsia="Times New Roman" w:hAnsi="Times New Roman" w:cs="Times New Roman"/>
          <w:sz w:val="24"/>
          <w:szCs w:val="24"/>
          <w:lang w:eastAsia="uk-UA"/>
        </w:rPr>
        <w:fldChar w:fldCharType="begin"/>
      </w:r>
      <w:r w:rsidRPr="009930F8">
        <w:rPr>
          <w:rFonts w:ascii="Times New Roman" w:eastAsia="Times New Roman" w:hAnsi="Times New Roman" w:cs="Times New Roman"/>
          <w:sz w:val="24"/>
          <w:szCs w:val="24"/>
          <w:lang w:eastAsia="uk-UA"/>
        </w:rPr>
        <w:instrText xml:space="preserve"> HYPERLINK "https://docs.dtkt.ua/doc/1011.47.281?page=47" \l "pn6745" </w:instrText>
      </w:r>
      <w:r w:rsidRPr="009930F8">
        <w:rPr>
          <w:rFonts w:ascii="Times New Roman" w:eastAsia="Times New Roman" w:hAnsi="Times New Roman" w:cs="Times New Roman"/>
          <w:sz w:val="24"/>
          <w:szCs w:val="24"/>
          <w:lang w:eastAsia="uk-UA"/>
        </w:rPr>
        <w:fldChar w:fldCharType="separate"/>
      </w:r>
      <w:r w:rsidRPr="009930F8">
        <w:rPr>
          <w:rFonts w:ascii="Times New Roman" w:eastAsia="Times New Roman" w:hAnsi="Times New Roman" w:cs="Times New Roman"/>
          <w:sz w:val="24"/>
          <w:szCs w:val="24"/>
          <w:lang w:eastAsia="uk-UA"/>
        </w:rPr>
        <w:t>пп</w:t>
      </w:r>
      <w:proofErr w:type="spellEnd"/>
      <w:r w:rsidRPr="009930F8">
        <w:rPr>
          <w:rFonts w:ascii="Times New Roman" w:eastAsia="Times New Roman" w:hAnsi="Times New Roman" w:cs="Times New Roman"/>
          <w:sz w:val="24"/>
          <w:szCs w:val="24"/>
          <w:lang w:eastAsia="uk-UA"/>
        </w:rPr>
        <w:t>. 213.1.3</w:t>
      </w:r>
      <w:r w:rsidRPr="009930F8">
        <w:rPr>
          <w:rFonts w:ascii="Times New Roman" w:eastAsia="Times New Roman" w:hAnsi="Times New Roman" w:cs="Times New Roman"/>
          <w:sz w:val="24"/>
          <w:szCs w:val="24"/>
          <w:lang w:eastAsia="uk-UA"/>
        </w:rPr>
        <w:fldChar w:fldCharType="end"/>
      </w:r>
      <w:r w:rsidRPr="009930F8">
        <w:rPr>
          <w:rFonts w:ascii="Times New Roman" w:eastAsia="Times New Roman" w:hAnsi="Times New Roman" w:cs="Times New Roman"/>
          <w:sz w:val="24"/>
          <w:szCs w:val="24"/>
          <w:lang w:eastAsia="uk-UA"/>
        </w:rPr>
        <w:t> та </w:t>
      </w:r>
      <w:hyperlink r:id="rId7" w:anchor="pn7528" w:history="1">
        <w:r w:rsidRPr="009930F8">
          <w:rPr>
            <w:rFonts w:ascii="Times New Roman" w:eastAsia="Times New Roman" w:hAnsi="Times New Roman" w:cs="Times New Roman"/>
            <w:sz w:val="24"/>
            <w:szCs w:val="24"/>
            <w:lang w:eastAsia="uk-UA"/>
          </w:rPr>
          <w:t>п. 216.4 ПКУ</w:t>
        </w:r>
      </w:hyperlink>
      <w:r w:rsidRPr="009930F8">
        <w:rPr>
          <w:rFonts w:ascii="Times New Roman" w:eastAsia="Times New Roman" w:hAnsi="Times New Roman" w:cs="Times New Roman"/>
          <w:sz w:val="24"/>
          <w:szCs w:val="24"/>
          <w:lang w:eastAsia="uk-UA"/>
        </w:rPr>
        <w:t>), при реалізації виробником виробленої ним продукції (</w:t>
      </w:r>
      <w:proofErr w:type="spellStart"/>
      <w:r w:rsidRPr="009930F8">
        <w:rPr>
          <w:rFonts w:ascii="Times New Roman" w:eastAsia="Times New Roman" w:hAnsi="Times New Roman" w:cs="Times New Roman"/>
          <w:sz w:val="24"/>
          <w:szCs w:val="24"/>
          <w:lang w:eastAsia="uk-UA"/>
        </w:rPr>
        <w:fldChar w:fldCharType="begin"/>
      </w:r>
      <w:r w:rsidRPr="009930F8">
        <w:rPr>
          <w:rFonts w:ascii="Times New Roman" w:eastAsia="Times New Roman" w:hAnsi="Times New Roman" w:cs="Times New Roman"/>
          <w:sz w:val="24"/>
          <w:szCs w:val="24"/>
          <w:lang w:eastAsia="uk-UA"/>
        </w:rPr>
        <w:instrText xml:space="preserve"> HYPERLINK "https://docs.dtkt.ua/doc/1011.47.281?page=47" \l "pn6743" </w:instrText>
      </w:r>
      <w:r w:rsidRPr="009930F8">
        <w:rPr>
          <w:rFonts w:ascii="Times New Roman" w:eastAsia="Times New Roman" w:hAnsi="Times New Roman" w:cs="Times New Roman"/>
          <w:sz w:val="24"/>
          <w:szCs w:val="24"/>
          <w:lang w:eastAsia="uk-UA"/>
        </w:rPr>
        <w:fldChar w:fldCharType="separate"/>
      </w:r>
      <w:r w:rsidRPr="009930F8">
        <w:rPr>
          <w:rFonts w:ascii="Times New Roman" w:eastAsia="Times New Roman" w:hAnsi="Times New Roman" w:cs="Times New Roman"/>
          <w:sz w:val="24"/>
          <w:szCs w:val="24"/>
          <w:lang w:eastAsia="uk-UA"/>
        </w:rPr>
        <w:t>пп</w:t>
      </w:r>
      <w:proofErr w:type="spellEnd"/>
      <w:r w:rsidRPr="009930F8">
        <w:rPr>
          <w:rFonts w:ascii="Times New Roman" w:eastAsia="Times New Roman" w:hAnsi="Times New Roman" w:cs="Times New Roman"/>
          <w:sz w:val="24"/>
          <w:szCs w:val="24"/>
          <w:lang w:eastAsia="uk-UA"/>
        </w:rPr>
        <w:t>. 213.1.1</w:t>
      </w:r>
      <w:r w:rsidRPr="009930F8">
        <w:rPr>
          <w:rFonts w:ascii="Times New Roman" w:eastAsia="Times New Roman" w:hAnsi="Times New Roman" w:cs="Times New Roman"/>
          <w:sz w:val="24"/>
          <w:szCs w:val="24"/>
          <w:lang w:eastAsia="uk-UA"/>
        </w:rPr>
        <w:fldChar w:fldCharType="end"/>
      </w:r>
      <w:r w:rsidRPr="009930F8">
        <w:rPr>
          <w:rFonts w:ascii="Times New Roman" w:eastAsia="Times New Roman" w:hAnsi="Times New Roman" w:cs="Times New Roman"/>
          <w:sz w:val="24"/>
          <w:szCs w:val="24"/>
          <w:lang w:eastAsia="uk-UA"/>
        </w:rPr>
        <w:t> та </w:t>
      </w:r>
      <w:hyperlink r:id="rId8" w:anchor="st216" w:history="1">
        <w:r w:rsidRPr="009930F8">
          <w:rPr>
            <w:rFonts w:ascii="Times New Roman" w:eastAsia="Times New Roman" w:hAnsi="Times New Roman" w:cs="Times New Roman"/>
            <w:sz w:val="24"/>
            <w:szCs w:val="24"/>
            <w:lang w:eastAsia="uk-UA"/>
          </w:rPr>
          <w:t>п. 216.1 ПКУ</w:t>
        </w:r>
      </w:hyperlink>
      <w:r w:rsidRPr="009930F8">
        <w:rPr>
          <w:rFonts w:ascii="Times New Roman" w:eastAsia="Times New Roman" w:hAnsi="Times New Roman" w:cs="Times New Roman"/>
          <w:sz w:val="24"/>
          <w:szCs w:val="24"/>
          <w:lang w:eastAsia="uk-UA"/>
        </w:rPr>
        <w:t xml:space="preserve">), при реалізації підакцизних товарів </w:t>
      </w:r>
      <w:r w:rsidRPr="009930F8">
        <w:rPr>
          <w:rFonts w:ascii="Times New Roman" w:eastAsia="Times New Roman" w:hAnsi="Times New Roman" w:cs="Times New Roman"/>
          <w:sz w:val="24"/>
          <w:szCs w:val="24"/>
          <w:lang w:eastAsia="uk-UA"/>
        </w:rPr>
        <w:lastRenderedPageBreak/>
        <w:t>понад обсяги, зазначені у </w:t>
      </w:r>
      <w:proofErr w:type="spellStart"/>
      <w:r w:rsidRPr="009930F8">
        <w:rPr>
          <w:rFonts w:ascii="Times New Roman" w:eastAsia="Times New Roman" w:hAnsi="Times New Roman" w:cs="Times New Roman"/>
          <w:sz w:val="24"/>
          <w:szCs w:val="24"/>
          <w:lang w:eastAsia="uk-UA"/>
        </w:rPr>
        <w:fldChar w:fldCharType="begin"/>
      </w:r>
      <w:r w:rsidRPr="009930F8">
        <w:rPr>
          <w:rFonts w:ascii="Times New Roman" w:eastAsia="Times New Roman" w:hAnsi="Times New Roman" w:cs="Times New Roman"/>
          <w:sz w:val="24"/>
          <w:szCs w:val="24"/>
          <w:lang w:eastAsia="uk-UA"/>
        </w:rPr>
        <w:instrText xml:space="preserve"> HYPERLINK "https://docs.dtkt.ua/doc/1011.47.281?page=47" \l "pn6751" </w:instrText>
      </w:r>
      <w:r w:rsidRPr="009930F8">
        <w:rPr>
          <w:rFonts w:ascii="Times New Roman" w:eastAsia="Times New Roman" w:hAnsi="Times New Roman" w:cs="Times New Roman"/>
          <w:sz w:val="24"/>
          <w:szCs w:val="24"/>
          <w:lang w:eastAsia="uk-UA"/>
        </w:rPr>
        <w:fldChar w:fldCharType="separate"/>
      </w:r>
      <w:r w:rsidRPr="009930F8">
        <w:rPr>
          <w:rFonts w:ascii="Times New Roman" w:eastAsia="Times New Roman" w:hAnsi="Times New Roman" w:cs="Times New Roman"/>
          <w:sz w:val="24"/>
          <w:szCs w:val="24"/>
          <w:lang w:eastAsia="uk-UA"/>
        </w:rPr>
        <w:t>пп</w:t>
      </w:r>
      <w:proofErr w:type="spellEnd"/>
      <w:r w:rsidRPr="009930F8">
        <w:rPr>
          <w:rFonts w:ascii="Times New Roman" w:eastAsia="Times New Roman" w:hAnsi="Times New Roman" w:cs="Times New Roman"/>
          <w:sz w:val="24"/>
          <w:szCs w:val="24"/>
          <w:lang w:eastAsia="uk-UA"/>
        </w:rPr>
        <w:t>. 213.1.12 ПКУ</w:t>
      </w:r>
      <w:r w:rsidRPr="009930F8">
        <w:rPr>
          <w:rFonts w:ascii="Times New Roman" w:eastAsia="Times New Roman" w:hAnsi="Times New Roman" w:cs="Times New Roman"/>
          <w:sz w:val="24"/>
          <w:szCs w:val="24"/>
          <w:lang w:eastAsia="uk-UA"/>
        </w:rPr>
        <w:fldChar w:fldCharType="end"/>
      </w:r>
      <w:r w:rsidRPr="009930F8">
        <w:rPr>
          <w:rFonts w:ascii="Times New Roman" w:eastAsia="Times New Roman" w:hAnsi="Times New Roman" w:cs="Times New Roman"/>
          <w:sz w:val="24"/>
          <w:szCs w:val="24"/>
          <w:lang w:eastAsia="uk-UA"/>
        </w:rPr>
        <w:t>, та в інших випадках. Якщо при ввезенні товарів з 1 вересня 2024 року помилково застосували попередню ставку акцизу, цю помилку треба виправляти за загальними правилами: складати аркуш коригування до митної декларації.</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b/>
          <w:bCs/>
          <w:sz w:val="24"/>
          <w:szCs w:val="24"/>
          <w:lang w:eastAsia="uk-UA"/>
        </w:rPr>
        <w:t>Розширено можливості зберігання пального для генераторів</w:t>
      </w:r>
    </w:p>
    <w:p w:rsidR="009930F8" w:rsidRPr="009930F8" w:rsidRDefault="009930F8" w:rsidP="009930F8">
      <w:pPr>
        <w:shd w:val="clear" w:color="auto" w:fill="FFFFFF"/>
        <w:spacing w:after="0" w:line="360" w:lineRule="atLeast"/>
        <w:rPr>
          <w:rFonts w:ascii="Times New Roman" w:eastAsia="Times New Roman" w:hAnsi="Times New Roman" w:cs="Times New Roman"/>
          <w:sz w:val="24"/>
          <w:szCs w:val="24"/>
          <w:lang w:eastAsia="uk-UA"/>
        </w:rPr>
      </w:pPr>
      <w:hyperlink r:id="rId9" w:anchor="pn11964" w:history="1">
        <w:r w:rsidRPr="009930F8">
          <w:rPr>
            <w:rFonts w:ascii="Times New Roman" w:eastAsia="Times New Roman" w:hAnsi="Times New Roman" w:cs="Times New Roman"/>
            <w:sz w:val="24"/>
            <w:szCs w:val="24"/>
            <w:lang w:eastAsia="uk-UA"/>
          </w:rPr>
          <w:t>Пункт 47 підрозділу 5 розділу XX</w:t>
        </w:r>
      </w:hyperlink>
      <w:r w:rsidRPr="009930F8">
        <w:rPr>
          <w:rFonts w:ascii="Times New Roman" w:eastAsia="Times New Roman" w:hAnsi="Times New Roman" w:cs="Times New Roman"/>
          <w:sz w:val="24"/>
          <w:szCs w:val="24"/>
          <w:lang w:eastAsia="uk-UA"/>
        </w:rPr>
        <w:t> «Перехідні положення» ПКУ викладено у новій редакції.</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b/>
          <w:bCs/>
          <w:sz w:val="24"/>
          <w:szCs w:val="24"/>
          <w:lang w:eastAsia="uk-UA"/>
        </w:rPr>
        <w:t>У період дії воєнного стану в Україні та протягом 30 днів з дня його припинення або скасування не є акцизним складом</w:t>
      </w:r>
      <w:r w:rsidRPr="009930F8">
        <w:rPr>
          <w:rFonts w:ascii="Times New Roman" w:eastAsia="Times New Roman" w:hAnsi="Times New Roman" w:cs="Times New Roman"/>
          <w:sz w:val="24"/>
          <w:szCs w:val="24"/>
          <w:lang w:eastAsia="uk-UA"/>
        </w:rPr>
        <w:t> приміщення або територія, у тому числі платника акцизного податку з реалізації пального, у кожному (на кожній) з яких:</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 xml:space="preserve">— загальна місткість розташованих </w:t>
      </w:r>
      <w:proofErr w:type="spellStart"/>
      <w:r w:rsidRPr="009930F8">
        <w:rPr>
          <w:rFonts w:ascii="Times New Roman" w:eastAsia="Times New Roman" w:hAnsi="Times New Roman" w:cs="Times New Roman"/>
          <w:sz w:val="24"/>
          <w:szCs w:val="24"/>
          <w:lang w:eastAsia="uk-UA"/>
        </w:rPr>
        <w:t>ємностей</w:t>
      </w:r>
      <w:proofErr w:type="spellEnd"/>
      <w:r w:rsidRPr="009930F8">
        <w:rPr>
          <w:rFonts w:ascii="Times New Roman" w:eastAsia="Times New Roman" w:hAnsi="Times New Roman" w:cs="Times New Roman"/>
          <w:sz w:val="24"/>
          <w:szCs w:val="24"/>
          <w:lang w:eastAsia="uk-UA"/>
        </w:rPr>
        <w:t xml:space="preserve"> для зберігання пального, що використовується </w:t>
      </w:r>
      <w:r w:rsidRPr="009930F8">
        <w:rPr>
          <w:rFonts w:ascii="Times New Roman" w:eastAsia="Times New Roman" w:hAnsi="Times New Roman" w:cs="Times New Roman"/>
          <w:b/>
          <w:bCs/>
          <w:sz w:val="24"/>
          <w:szCs w:val="24"/>
          <w:lang w:eastAsia="uk-UA"/>
        </w:rPr>
        <w:t>виключно</w:t>
      </w:r>
      <w:r w:rsidRPr="009930F8">
        <w:rPr>
          <w:rFonts w:ascii="Times New Roman" w:eastAsia="Times New Roman" w:hAnsi="Times New Roman" w:cs="Times New Roman"/>
          <w:sz w:val="24"/>
          <w:szCs w:val="24"/>
          <w:lang w:eastAsia="uk-UA"/>
        </w:rPr>
        <w:t xml:space="preserve"> для заправляння </w:t>
      </w:r>
      <w:proofErr w:type="spellStart"/>
      <w:r w:rsidRPr="009930F8">
        <w:rPr>
          <w:rFonts w:ascii="Times New Roman" w:eastAsia="Times New Roman" w:hAnsi="Times New Roman" w:cs="Times New Roman"/>
          <w:sz w:val="24"/>
          <w:szCs w:val="24"/>
          <w:lang w:eastAsia="uk-UA"/>
        </w:rPr>
        <w:t>електрогенераторних</w:t>
      </w:r>
      <w:proofErr w:type="spellEnd"/>
      <w:r w:rsidRPr="009930F8">
        <w:rPr>
          <w:rFonts w:ascii="Times New Roman" w:eastAsia="Times New Roman" w:hAnsi="Times New Roman" w:cs="Times New Roman"/>
          <w:sz w:val="24"/>
          <w:szCs w:val="24"/>
          <w:lang w:eastAsia="uk-UA"/>
        </w:rPr>
        <w:t xml:space="preserve"> установок, </w:t>
      </w:r>
      <w:r w:rsidRPr="009930F8">
        <w:rPr>
          <w:rFonts w:ascii="Times New Roman" w:eastAsia="Times New Roman" w:hAnsi="Times New Roman" w:cs="Times New Roman"/>
          <w:b/>
          <w:bCs/>
          <w:sz w:val="24"/>
          <w:szCs w:val="24"/>
          <w:lang w:eastAsia="uk-UA"/>
        </w:rPr>
        <w:t>не перевищує 2 000 літрів</w:t>
      </w:r>
      <w:r w:rsidRPr="009930F8">
        <w:rPr>
          <w:rFonts w:ascii="Times New Roman" w:eastAsia="Times New Roman" w:hAnsi="Times New Roman" w:cs="Times New Roman"/>
          <w:sz w:val="24"/>
          <w:szCs w:val="24"/>
          <w:lang w:eastAsia="uk-UA"/>
        </w:rPr>
        <w:t>;</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 приміщення або територія, у тому числі платника акцизного податку з реалізації пального </w:t>
      </w:r>
      <w:r w:rsidRPr="009930F8">
        <w:rPr>
          <w:rFonts w:ascii="Times New Roman" w:eastAsia="Times New Roman" w:hAnsi="Times New Roman" w:cs="Times New Roman"/>
          <w:i/>
          <w:iCs/>
          <w:sz w:val="24"/>
          <w:szCs w:val="24"/>
          <w:lang w:eastAsia="uk-UA"/>
        </w:rPr>
        <w:t>(за винятком платників, які провадять діяльність з виробництва, оптової та роздрібної торгівлі пальним, його зберігання</w:t>
      </w:r>
      <w:r w:rsidRPr="009930F8">
        <w:rPr>
          <w:rFonts w:ascii="Times New Roman" w:eastAsia="Times New Roman" w:hAnsi="Times New Roman" w:cs="Times New Roman"/>
          <w:sz w:val="24"/>
          <w:szCs w:val="24"/>
          <w:lang w:eastAsia="uk-UA"/>
        </w:rPr>
        <w:t> (крім зберігання виключно для потреб власного споживання та/або промислової переробки), </w:t>
      </w:r>
      <w:r w:rsidRPr="009930F8">
        <w:rPr>
          <w:rFonts w:ascii="Times New Roman" w:eastAsia="Times New Roman" w:hAnsi="Times New Roman" w:cs="Times New Roman"/>
          <w:b/>
          <w:bCs/>
          <w:sz w:val="24"/>
          <w:szCs w:val="24"/>
          <w:lang w:eastAsia="uk-UA"/>
        </w:rPr>
        <w:t>які розташовані/знаходяться на територіях можливих бойових дій</w:t>
      </w:r>
      <w:r w:rsidRPr="009930F8">
        <w:rPr>
          <w:rFonts w:ascii="Times New Roman" w:eastAsia="Times New Roman" w:hAnsi="Times New Roman" w:cs="Times New Roman"/>
          <w:sz w:val="24"/>
          <w:szCs w:val="24"/>
          <w:lang w:eastAsia="uk-UA"/>
        </w:rPr>
        <w:t> (для яких не визначено дату припинення можливості бойових дій), </w:t>
      </w:r>
      <w:r w:rsidRPr="009930F8">
        <w:rPr>
          <w:rFonts w:ascii="Times New Roman" w:eastAsia="Times New Roman" w:hAnsi="Times New Roman" w:cs="Times New Roman"/>
          <w:b/>
          <w:bCs/>
          <w:sz w:val="24"/>
          <w:szCs w:val="24"/>
          <w:lang w:eastAsia="uk-UA"/>
        </w:rPr>
        <w:t>територіях активних бойових дій</w:t>
      </w:r>
      <w:r w:rsidRPr="009930F8">
        <w:rPr>
          <w:rFonts w:ascii="Times New Roman" w:eastAsia="Times New Roman" w:hAnsi="Times New Roman" w:cs="Times New Roman"/>
          <w:sz w:val="24"/>
          <w:szCs w:val="24"/>
          <w:lang w:eastAsia="uk-UA"/>
        </w:rPr>
        <w:t xml:space="preserve"> (для яких не визначено дату завершення бойових дій), включених до Переліку територій, на яких ведуться (велися) бойові дії або тимчасово окупованих Російською Федерацією, у кожному (на кожній) з яких загальна місткість розташованих </w:t>
      </w:r>
      <w:proofErr w:type="spellStart"/>
      <w:r w:rsidRPr="009930F8">
        <w:rPr>
          <w:rFonts w:ascii="Times New Roman" w:eastAsia="Times New Roman" w:hAnsi="Times New Roman" w:cs="Times New Roman"/>
          <w:sz w:val="24"/>
          <w:szCs w:val="24"/>
          <w:lang w:eastAsia="uk-UA"/>
        </w:rPr>
        <w:t>ємностей</w:t>
      </w:r>
      <w:proofErr w:type="spellEnd"/>
      <w:r w:rsidRPr="009930F8">
        <w:rPr>
          <w:rFonts w:ascii="Times New Roman" w:eastAsia="Times New Roman" w:hAnsi="Times New Roman" w:cs="Times New Roman"/>
          <w:sz w:val="24"/>
          <w:szCs w:val="24"/>
          <w:lang w:eastAsia="uk-UA"/>
        </w:rPr>
        <w:t xml:space="preserve"> для зберігання пального, що використовується виключно для заправляння </w:t>
      </w:r>
      <w:proofErr w:type="spellStart"/>
      <w:r w:rsidRPr="009930F8">
        <w:rPr>
          <w:rFonts w:ascii="Times New Roman" w:eastAsia="Times New Roman" w:hAnsi="Times New Roman" w:cs="Times New Roman"/>
          <w:sz w:val="24"/>
          <w:szCs w:val="24"/>
          <w:lang w:eastAsia="uk-UA"/>
        </w:rPr>
        <w:t>електрогенераторних</w:t>
      </w:r>
      <w:proofErr w:type="spellEnd"/>
      <w:r w:rsidRPr="009930F8">
        <w:rPr>
          <w:rFonts w:ascii="Times New Roman" w:eastAsia="Times New Roman" w:hAnsi="Times New Roman" w:cs="Times New Roman"/>
          <w:sz w:val="24"/>
          <w:szCs w:val="24"/>
          <w:lang w:eastAsia="uk-UA"/>
        </w:rPr>
        <w:t xml:space="preserve"> установок, </w:t>
      </w:r>
      <w:r w:rsidRPr="009930F8">
        <w:rPr>
          <w:rFonts w:ascii="Times New Roman" w:eastAsia="Times New Roman" w:hAnsi="Times New Roman" w:cs="Times New Roman"/>
          <w:b/>
          <w:bCs/>
          <w:sz w:val="24"/>
          <w:szCs w:val="24"/>
          <w:lang w:eastAsia="uk-UA"/>
        </w:rPr>
        <w:t>не перевищує 2 000 літрів</w:t>
      </w:r>
      <w:r w:rsidRPr="009930F8">
        <w:rPr>
          <w:rFonts w:ascii="Times New Roman" w:eastAsia="Times New Roman" w:hAnsi="Times New Roman" w:cs="Times New Roman"/>
          <w:sz w:val="24"/>
          <w:szCs w:val="24"/>
          <w:lang w:eastAsia="uk-UA"/>
        </w:rPr>
        <w:t>;</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 xml:space="preserve">— загальна місткість розташованих </w:t>
      </w:r>
      <w:proofErr w:type="spellStart"/>
      <w:r w:rsidRPr="009930F8">
        <w:rPr>
          <w:rFonts w:ascii="Times New Roman" w:eastAsia="Times New Roman" w:hAnsi="Times New Roman" w:cs="Times New Roman"/>
          <w:sz w:val="24"/>
          <w:szCs w:val="24"/>
          <w:lang w:eastAsia="uk-UA"/>
        </w:rPr>
        <w:t>ємностей</w:t>
      </w:r>
      <w:proofErr w:type="spellEnd"/>
      <w:r w:rsidRPr="009930F8">
        <w:rPr>
          <w:rFonts w:ascii="Times New Roman" w:eastAsia="Times New Roman" w:hAnsi="Times New Roman" w:cs="Times New Roman"/>
          <w:sz w:val="24"/>
          <w:szCs w:val="24"/>
          <w:lang w:eastAsia="uk-UA"/>
        </w:rPr>
        <w:t xml:space="preserve"> для зберігання пального, що використовується виключно для заправляння </w:t>
      </w:r>
      <w:proofErr w:type="spellStart"/>
      <w:r w:rsidRPr="009930F8">
        <w:rPr>
          <w:rFonts w:ascii="Times New Roman" w:eastAsia="Times New Roman" w:hAnsi="Times New Roman" w:cs="Times New Roman"/>
          <w:sz w:val="24"/>
          <w:szCs w:val="24"/>
          <w:lang w:eastAsia="uk-UA"/>
        </w:rPr>
        <w:t>електрогенераторних</w:t>
      </w:r>
      <w:proofErr w:type="spellEnd"/>
      <w:r w:rsidRPr="009930F8">
        <w:rPr>
          <w:rFonts w:ascii="Times New Roman" w:eastAsia="Times New Roman" w:hAnsi="Times New Roman" w:cs="Times New Roman"/>
          <w:sz w:val="24"/>
          <w:szCs w:val="24"/>
          <w:lang w:eastAsia="uk-UA"/>
        </w:rPr>
        <w:t xml:space="preserve"> установок, </w:t>
      </w:r>
      <w:r w:rsidRPr="009930F8">
        <w:rPr>
          <w:rFonts w:ascii="Times New Roman" w:eastAsia="Times New Roman" w:hAnsi="Times New Roman" w:cs="Times New Roman"/>
          <w:b/>
          <w:bCs/>
          <w:sz w:val="24"/>
          <w:szCs w:val="24"/>
          <w:lang w:eastAsia="uk-UA"/>
        </w:rPr>
        <w:t>не перевищує 2 000 літрів</w:t>
      </w:r>
      <w:r w:rsidRPr="009930F8">
        <w:rPr>
          <w:rFonts w:ascii="Times New Roman" w:eastAsia="Times New Roman" w:hAnsi="Times New Roman" w:cs="Times New Roman"/>
          <w:sz w:val="24"/>
          <w:szCs w:val="24"/>
          <w:lang w:eastAsia="uk-UA"/>
        </w:rPr>
        <w:t> та </w:t>
      </w:r>
      <w:r w:rsidRPr="009930F8">
        <w:rPr>
          <w:rFonts w:ascii="Times New Roman" w:eastAsia="Times New Roman" w:hAnsi="Times New Roman" w:cs="Times New Roman"/>
          <w:b/>
          <w:bCs/>
          <w:sz w:val="24"/>
          <w:szCs w:val="24"/>
          <w:lang w:eastAsia="uk-UA"/>
        </w:rPr>
        <w:t>одночасно</w:t>
      </w:r>
      <w:r w:rsidRPr="009930F8">
        <w:rPr>
          <w:rFonts w:ascii="Times New Roman" w:eastAsia="Times New Roman" w:hAnsi="Times New Roman" w:cs="Times New Roman"/>
          <w:sz w:val="24"/>
          <w:szCs w:val="24"/>
          <w:lang w:eastAsia="uk-UA"/>
        </w:rPr>
        <w:t> зберігається або реалізується пальне у споживчій тарі ємністю до 5 літрів включно, отримане від виробника або особи, яка здійснила розлив пального у таку тару.</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b/>
          <w:bCs/>
          <w:sz w:val="24"/>
          <w:szCs w:val="24"/>
          <w:lang w:eastAsia="uk-UA"/>
        </w:rPr>
        <w:t>У період дії воєнного стану в Україні до визначеної дати припинення можливості бойових дій або дати завершення бойових дій не є акцизним складом</w:t>
      </w:r>
      <w:r w:rsidRPr="009930F8">
        <w:rPr>
          <w:rFonts w:ascii="Times New Roman" w:eastAsia="Times New Roman" w:hAnsi="Times New Roman" w:cs="Times New Roman"/>
          <w:sz w:val="24"/>
          <w:szCs w:val="24"/>
          <w:lang w:eastAsia="uk-UA"/>
        </w:rPr>
        <w:t> приміщення або територія, у тому числі платника акцизного податку з реалізації пального </w:t>
      </w:r>
      <w:r w:rsidRPr="009930F8">
        <w:rPr>
          <w:rFonts w:ascii="Times New Roman" w:eastAsia="Times New Roman" w:hAnsi="Times New Roman" w:cs="Times New Roman"/>
          <w:i/>
          <w:iCs/>
          <w:sz w:val="24"/>
          <w:szCs w:val="24"/>
          <w:lang w:eastAsia="uk-UA"/>
        </w:rPr>
        <w:t>(за винятком платників, які провадять діяльність з виробництва, оптової та роздрібної торгівлі пальним, його зберігання (крім зберігання виключно для потреб власного споживання та/або промислової переробки)</w:t>
      </w:r>
      <w:r w:rsidRPr="009930F8">
        <w:rPr>
          <w:rFonts w:ascii="Times New Roman" w:eastAsia="Times New Roman" w:hAnsi="Times New Roman" w:cs="Times New Roman"/>
          <w:sz w:val="24"/>
          <w:szCs w:val="24"/>
          <w:lang w:eastAsia="uk-UA"/>
        </w:rPr>
        <w:t xml:space="preserve">, які розташовані/знаходяться на територіях можливих бойових дій (для яких не визначено дату припинення можливості бойових дій), територіях активних бойових дій (для яких не визначено дату завершення бойових дій), включених до Переліку територій, на яких ведуться (велися) бойові дії або тимчасово окупованих Російською Федерацією, у кожному (на кожній) з яких загальна місткість розташованих </w:t>
      </w:r>
      <w:proofErr w:type="spellStart"/>
      <w:r w:rsidRPr="009930F8">
        <w:rPr>
          <w:rFonts w:ascii="Times New Roman" w:eastAsia="Times New Roman" w:hAnsi="Times New Roman" w:cs="Times New Roman"/>
          <w:sz w:val="24"/>
          <w:szCs w:val="24"/>
          <w:lang w:eastAsia="uk-UA"/>
        </w:rPr>
        <w:lastRenderedPageBreak/>
        <w:t>ємностей</w:t>
      </w:r>
      <w:proofErr w:type="spellEnd"/>
      <w:r w:rsidRPr="009930F8">
        <w:rPr>
          <w:rFonts w:ascii="Times New Roman" w:eastAsia="Times New Roman" w:hAnsi="Times New Roman" w:cs="Times New Roman"/>
          <w:sz w:val="24"/>
          <w:szCs w:val="24"/>
          <w:lang w:eastAsia="uk-UA"/>
        </w:rPr>
        <w:t xml:space="preserve"> для зберігання пального, що використовується </w:t>
      </w:r>
      <w:r w:rsidRPr="009930F8">
        <w:rPr>
          <w:rFonts w:ascii="Times New Roman" w:eastAsia="Times New Roman" w:hAnsi="Times New Roman" w:cs="Times New Roman"/>
          <w:b/>
          <w:bCs/>
          <w:sz w:val="24"/>
          <w:szCs w:val="24"/>
          <w:lang w:eastAsia="uk-UA"/>
        </w:rPr>
        <w:t xml:space="preserve">виключно для заправлення </w:t>
      </w:r>
      <w:proofErr w:type="spellStart"/>
      <w:r w:rsidRPr="009930F8">
        <w:rPr>
          <w:rFonts w:ascii="Times New Roman" w:eastAsia="Times New Roman" w:hAnsi="Times New Roman" w:cs="Times New Roman"/>
          <w:b/>
          <w:bCs/>
          <w:sz w:val="24"/>
          <w:szCs w:val="24"/>
          <w:lang w:eastAsia="uk-UA"/>
        </w:rPr>
        <w:t>електрогенераторних</w:t>
      </w:r>
      <w:proofErr w:type="spellEnd"/>
      <w:r w:rsidRPr="009930F8">
        <w:rPr>
          <w:rFonts w:ascii="Times New Roman" w:eastAsia="Times New Roman" w:hAnsi="Times New Roman" w:cs="Times New Roman"/>
          <w:b/>
          <w:bCs/>
          <w:sz w:val="24"/>
          <w:szCs w:val="24"/>
          <w:lang w:eastAsia="uk-UA"/>
        </w:rPr>
        <w:t xml:space="preserve"> установок, перевищує 2 000 літрів та не перевищує  5 000 літрів</w:t>
      </w:r>
      <w:r w:rsidRPr="009930F8">
        <w:rPr>
          <w:rFonts w:ascii="Times New Roman" w:eastAsia="Times New Roman" w:hAnsi="Times New Roman" w:cs="Times New Roman"/>
          <w:sz w:val="24"/>
          <w:szCs w:val="24"/>
          <w:lang w:eastAsia="uk-UA"/>
        </w:rPr>
        <w:t>.</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Але і це ще не все. Є додаткові умови для тих СГ, які не зберігають та/або не реалізують пальне у споживчій тарі:</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 використовують пальне виключно для заправляння генераторів;</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 ведуть окремий облік пального, яке отримано та використано для їх заправляння;</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 розраховуються за придбане для таких потреб пальне виключно у безготівковій формі.</w:t>
      </w:r>
    </w:p>
    <w:p w:rsidR="009930F8" w:rsidRPr="009930F8" w:rsidRDefault="009930F8" w:rsidP="009930F8">
      <w:pPr>
        <w:shd w:val="clear" w:color="auto" w:fill="FFFFFF"/>
        <w:spacing w:after="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 xml:space="preserve">Якщо ємності не є акцизним складом, то це означає, що власник таких </w:t>
      </w:r>
      <w:proofErr w:type="spellStart"/>
      <w:r w:rsidRPr="009930F8">
        <w:rPr>
          <w:rFonts w:ascii="Times New Roman" w:eastAsia="Times New Roman" w:hAnsi="Times New Roman" w:cs="Times New Roman"/>
          <w:sz w:val="24"/>
          <w:szCs w:val="24"/>
          <w:lang w:eastAsia="uk-UA"/>
        </w:rPr>
        <w:t>ємностей</w:t>
      </w:r>
      <w:proofErr w:type="spellEnd"/>
      <w:r w:rsidRPr="009930F8">
        <w:rPr>
          <w:rFonts w:ascii="Times New Roman" w:eastAsia="Times New Roman" w:hAnsi="Times New Roman" w:cs="Times New Roman"/>
          <w:sz w:val="24"/>
          <w:szCs w:val="24"/>
          <w:lang w:eastAsia="uk-UA"/>
        </w:rPr>
        <w:t xml:space="preserve"> не мусить реєструватися платником акцизного податку. За умови дотримання цих вимог отримане пальне для генераторів не враховують при застосуванні визначеного </w:t>
      </w:r>
      <w:proofErr w:type="spellStart"/>
      <w:r w:rsidRPr="009930F8">
        <w:rPr>
          <w:rFonts w:ascii="Times New Roman" w:eastAsia="Times New Roman" w:hAnsi="Times New Roman" w:cs="Times New Roman"/>
          <w:sz w:val="24"/>
          <w:szCs w:val="24"/>
          <w:lang w:eastAsia="uk-UA"/>
        </w:rPr>
        <w:fldChar w:fldCharType="begin"/>
      </w:r>
      <w:r w:rsidRPr="009930F8">
        <w:rPr>
          <w:rFonts w:ascii="Times New Roman" w:eastAsia="Times New Roman" w:hAnsi="Times New Roman" w:cs="Times New Roman"/>
          <w:sz w:val="24"/>
          <w:szCs w:val="24"/>
          <w:lang w:eastAsia="uk-UA"/>
        </w:rPr>
        <w:instrText xml:space="preserve"> HYPERLINK "https://docs.dtkt.ua/doc/2755-17?page=2" \l "pn149" </w:instrText>
      </w:r>
      <w:r w:rsidRPr="009930F8">
        <w:rPr>
          <w:rFonts w:ascii="Times New Roman" w:eastAsia="Times New Roman" w:hAnsi="Times New Roman" w:cs="Times New Roman"/>
          <w:sz w:val="24"/>
          <w:szCs w:val="24"/>
          <w:lang w:eastAsia="uk-UA"/>
        </w:rPr>
        <w:fldChar w:fldCharType="separate"/>
      </w:r>
      <w:r w:rsidRPr="009930F8">
        <w:rPr>
          <w:rFonts w:ascii="Times New Roman" w:eastAsia="Times New Roman" w:hAnsi="Times New Roman" w:cs="Times New Roman"/>
          <w:sz w:val="24"/>
          <w:szCs w:val="24"/>
          <w:lang w:eastAsia="uk-UA"/>
        </w:rPr>
        <w:t>пп</w:t>
      </w:r>
      <w:proofErr w:type="spellEnd"/>
      <w:r w:rsidRPr="009930F8">
        <w:rPr>
          <w:rFonts w:ascii="Times New Roman" w:eastAsia="Times New Roman" w:hAnsi="Times New Roman" w:cs="Times New Roman"/>
          <w:sz w:val="24"/>
          <w:szCs w:val="24"/>
          <w:lang w:eastAsia="uk-UA"/>
        </w:rPr>
        <w:t>. 14.1.6 ПКУ</w:t>
      </w:r>
      <w:r w:rsidRPr="009930F8">
        <w:rPr>
          <w:rFonts w:ascii="Times New Roman" w:eastAsia="Times New Roman" w:hAnsi="Times New Roman" w:cs="Times New Roman"/>
          <w:sz w:val="24"/>
          <w:szCs w:val="24"/>
          <w:lang w:eastAsia="uk-UA"/>
        </w:rPr>
        <w:fldChar w:fldCharType="end"/>
      </w:r>
      <w:r w:rsidRPr="009930F8">
        <w:rPr>
          <w:rFonts w:ascii="Times New Roman" w:eastAsia="Times New Roman" w:hAnsi="Times New Roman" w:cs="Times New Roman"/>
          <w:sz w:val="24"/>
          <w:szCs w:val="24"/>
          <w:lang w:eastAsia="uk-UA"/>
        </w:rPr>
        <w:t xml:space="preserve"> критерію щодо </w:t>
      </w:r>
      <w:proofErr w:type="spellStart"/>
      <w:r w:rsidRPr="009930F8">
        <w:rPr>
          <w:rFonts w:ascii="Times New Roman" w:eastAsia="Times New Roman" w:hAnsi="Times New Roman" w:cs="Times New Roman"/>
          <w:sz w:val="24"/>
          <w:szCs w:val="24"/>
          <w:lang w:eastAsia="uk-UA"/>
        </w:rPr>
        <w:t>неперевищення</w:t>
      </w:r>
      <w:proofErr w:type="spellEnd"/>
      <w:r w:rsidRPr="009930F8">
        <w:rPr>
          <w:rFonts w:ascii="Times New Roman" w:eastAsia="Times New Roman" w:hAnsi="Times New Roman" w:cs="Times New Roman"/>
          <w:sz w:val="24"/>
          <w:szCs w:val="24"/>
          <w:lang w:eastAsia="uk-UA"/>
        </w:rPr>
        <w:t xml:space="preserve"> 1 000 кубічних метрів обсягів отримання пального таким СГ протягом календарного року.</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b/>
          <w:bCs/>
          <w:sz w:val="24"/>
          <w:szCs w:val="24"/>
          <w:lang w:eastAsia="uk-UA"/>
        </w:rPr>
        <w:t>Що це означає — думка редакції</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Простими словами норми п. 47 підрозділу 5 розділу XX «Перехідні положення» ПКУ означають таке (тут ми викладемо інформацію схематично, без подробиць, які наведені вище).</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b/>
          <w:bCs/>
          <w:sz w:val="24"/>
          <w:szCs w:val="24"/>
          <w:lang w:eastAsia="uk-UA"/>
        </w:rPr>
        <w:t>У період дії воєнного стану в Україні та протягом 30 днів з дня його припинення або скасування:</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 xml:space="preserve">— всі платники податків, у тому числі і всі платники акцизу, можуть зберігати пальне для генераторів у </w:t>
      </w:r>
      <w:proofErr w:type="spellStart"/>
      <w:r w:rsidRPr="009930F8">
        <w:rPr>
          <w:rFonts w:ascii="Times New Roman" w:eastAsia="Times New Roman" w:hAnsi="Times New Roman" w:cs="Times New Roman"/>
          <w:sz w:val="24"/>
          <w:szCs w:val="24"/>
          <w:lang w:eastAsia="uk-UA"/>
        </w:rPr>
        <w:t>ємностях</w:t>
      </w:r>
      <w:proofErr w:type="spellEnd"/>
      <w:r w:rsidRPr="009930F8">
        <w:rPr>
          <w:rFonts w:ascii="Times New Roman" w:eastAsia="Times New Roman" w:hAnsi="Times New Roman" w:cs="Times New Roman"/>
          <w:sz w:val="24"/>
          <w:szCs w:val="24"/>
          <w:lang w:eastAsia="uk-UA"/>
        </w:rPr>
        <w:t xml:space="preserve"> загальною місткістю до 2 000 літрів. Потрібно вести окремий облік пального для генераторів і розраховуватися за нього виключно безготівково;</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 xml:space="preserve">— усі платники податків, у тому числі і всі платники акцизу, можуть зберігати пальне для генераторів у </w:t>
      </w:r>
      <w:proofErr w:type="spellStart"/>
      <w:r w:rsidRPr="009930F8">
        <w:rPr>
          <w:rFonts w:ascii="Times New Roman" w:eastAsia="Times New Roman" w:hAnsi="Times New Roman" w:cs="Times New Roman"/>
          <w:sz w:val="24"/>
          <w:szCs w:val="24"/>
          <w:lang w:eastAsia="uk-UA"/>
        </w:rPr>
        <w:t>ємностях</w:t>
      </w:r>
      <w:proofErr w:type="spellEnd"/>
      <w:r w:rsidRPr="009930F8">
        <w:rPr>
          <w:rFonts w:ascii="Times New Roman" w:eastAsia="Times New Roman" w:hAnsi="Times New Roman" w:cs="Times New Roman"/>
          <w:sz w:val="24"/>
          <w:szCs w:val="24"/>
          <w:lang w:eastAsia="uk-UA"/>
        </w:rPr>
        <w:t xml:space="preserve"> загальною місткістю до 2 000 літрів одночасно зі зберіганням або реалізацією пального у споживчій тарі. Не вимагається вести окремого обліку пального для генераторів і розраховуватися за нього виключно безготівково, тобто цим платникам можна придбавати пальне для генератора на АЗС за готівку;</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 xml:space="preserve">— платники податків, у тому числі акцизу, і в тому числі ті, які зберігають пальне для потреб власного споживання та/або промислової переробки у </w:t>
      </w:r>
      <w:proofErr w:type="spellStart"/>
      <w:r w:rsidRPr="009930F8">
        <w:rPr>
          <w:rFonts w:ascii="Times New Roman" w:eastAsia="Times New Roman" w:hAnsi="Times New Roman" w:cs="Times New Roman"/>
          <w:sz w:val="24"/>
          <w:szCs w:val="24"/>
          <w:lang w:eastAsia="uk-UA"/>
        </w:rPr>
        <w:t>ємностях</w:t>
      </w:r>
      <w:proofErr w:type="spellEnd"/>
      <w:r w:rsidRPr="009930F8">
        <w:rPr>
          <w:rFonts w:ascii="Times New Roman" w:eastAsia="Times New Roman" w:hAnsi="Times New Roman" w:cs="Times New Roman"/>
          <w:sz w:val="24"/>
          <w:szCs w:val="24"/>
          <w:lang w:eastAsia="uk-UA"/>
        </w:rPr>
        <w:t>, що </w:t>
      </w:r>
      <w:r w:rsidRPr="009930F8">
        <w:rPr>
          <w:rFonts w:ascii="Times New Roman" w:eastAsia="Times New Roman" w:hAnsi="Times New Roman" w:cs="Times New Roman"/>
          <w:b/>
          <w:bCs/>
          <w:sz w:val="24"/>
          <w:szCs w:val="24"/>
          <w:lang w:eastAsia="uk-UA"/>
        </w:rPr>
        <w:t>розташовані або знаходяться на територіях</w:t>
      </w:r>
      <w:r w:rsidRPr="009930F8">
        <w:rPr>
          <w:rFonts w:ascii="Times New Roman" w:eastAsia="Times New Roman" w:hAnsi="Times New Roman" w:cs="Times New Roman"/>
          <w:sz w:val="24"/>
          <w:szCs w:val="24"/>
          <w:lang w:eastAsia="uk-UA"/>
        </w:rPr>
        <w:t xml:space="preserve">, включених до Переліку територій, можуть зберігати пальне для генераторів у </w:t>
      </w:r>
      <w:proofErr w:type="spellStart"/>
      <w:r w:rsidRPr="009930F8">
        <w:rPr>
          <w:rFonts w:ascii="Times New Roman" w:eastAsia="Times New Roman" w:hAnsi="Times New Roman" w:cs="Times New Roman"/>
          <w:sz w:val="24"/>
          <w:szCs w:val="24"/>
          <w:lang w:eastAsia="uk-UA"/>
        </w:rPr>
        <w:t>ємностях</w:t>
      </w:r>
      <w:proofErr w:type="spellEnd"/>
      <w:r w:rsidRPr="009930F8">
        <w:rPr>
          <w:rFonts w:ascii="Times New Roman" w:eastAsia="Times New Roman" w:hAnsi="Times New Roman" w:cs="Times New Roman"/>
          <w:sz w:val="24"/>
          <w:szCs w:val="24"/>
          <w:lang w:eastAsia="uk-UA"/>
        </w:rPr>
        <w:t xml:space="preserve"> загальною місткістю до 2 000 літрів. Потрібно вести окремий облік пального для генераторів і розраховуватися за нього виключно безготівково. Ця умова не поширюється на платників акцизу, які провадять діяльність із виробництва, оптової та роздрібної торгівлі пальним, його зберігання з метою реалізації.</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b/>
          <w:bCs/>
          <w:sz w:val="24"/>
          <w:szCs w:val="24"/>
          <w:lang w:eastAsia="uk-UA"/>
        </w:rPr>
        <w:lastRenderedPageBreak/>
        <w:t>У період дії воєнного стану в Україні до виключення території підприємства з Переліку територій:</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 xml:space="preserve">— платники податків, у тому числі акцизу, і в тому числі ті, які зберігають пальне для потреб власного споживання та/або промислової переробки, у </w:t>
      </w:r>
      <w:proofErr w:type="spellStart"/>
      <w:r w:rsidRPr="009930F8">
        <w:rPr>
          <w:rFonts w:ascii="Times New Roman" w:eastAsia="Times New Roman" w:hAnsi="Times New Roman" w:cs="Times New Roman"/>
          <w:sz w:val="24"/>
          <w:szCs w:val="24"/>
          <w:lang w:eastAsia="uk-UA"/>
        </w:rPr>
        <w:t>ємностях</w:t>
      </w:r>
      <w:proofErr w:type="spellEnd"/>
      <w:r w:rsidRPr="009930F8">
        <w:rPr>
          <w:rFonts w:ascii="Times New Roman" w:eastAsia="Times New Roman" w:hAnsi="Times New Roman" w:cs="Times New Roman"/>
          <w:sz w:val="24"/>
          <w:szCs w:val="24"/>
          <w:lang w:eastAsia="uk-UA"/>
        </w:rPr>
        <w:t xml:space="preserve">, що розташовані або знаходяться на територіях, включених до Переліку територій, можуть зберігати пальне для генераторів у </w:t>
      </w:r>
      <w:proofErr w:type="spellStart"/>
      <w:r w:rsidRPr="009930F8">
        <w:rPr>
          <w:rFonts w:ascii="Times New Roman" w:eastAsia="Times New Roman" w:hAnsi="Times New Roman" w:cs="Times New Roman"/>
          <w:sz w:val="24"/>
          <w:szCs w:val="24"/>
          <w:lang w:eastAsia="uk-UA"/>
        </w:rPr>
        <w:t>ємностях</w:t>
      </w:r>
      <w:proofErr w:type="spellEnd"/>
      <w:r w:rsidRPr="009930F8">
        <w:rPr>
          <w:rFonts w:ascii="Times New Roman" w:eastAsia="Times New Roman" w:hAnsi="Times New Roman" w:cs="Times New Roman"/>
          <w:sz w:val="24"/>
          <w:szCs w:val="24"/>
          <w:lang w:eastAsia="uk-UA"/>
        </w:rPr>
        <w:t xml:space="preserve"> загальною місткістю </w:t>
      </w:r>
      <w:r w:rsidRPr="009930F8">
        <w:rPr>
          <w:rFonts w:ascii="Times New Roman" w:eastAsia="Times New Roman" w:hAnsi="Times New Roman" w:cs="Times New Roman"/>
          <w:b/>
          <w:bCs/>
          <w:sz w:val="24"/>
          <w:szCs w:val="24"/>
          <w:lang w:eastAsia="uk-UA"/>
        </w:rPr>
        <w:t>від 2 000 літрів до 5 000 літрів</w:t>
      </w:r>
      <w:r w:rsidRPr="009930F8">
        <w:rPr>
          <w:rFonts w:ascii="Times New Roman" w:eastAsia="Times New Roman" w:hAnsi="Times New Roman" w:cs="Times New Roman"/>
          <w:sz w:val="24"/>
          <w:szCs w:val="24"/>
          <w:lang w:eastAsia="uk-UA"/>
        </w:rPr>
        <w:t>. Потрібно вести окремий облік пального для генераторів і розраховуватися за нього виключно безготівково. Ця умова не поширюється на платників акцизу, які провадять діяльність із виробництва, оптової та роздрібної торгівлі пальним, його зберігання з метою реалізації.</w:t>
      </w:r>
    </w:p>
    <w:p w:rsidR="009930F8" w:rsidRPr="009930F8" w:rsidRDefault="009930F8" w:rsidP="009930F8">
      <w:pPr>
        <w:shd w:val="clear" w:color="auto" w:fill="FFFFFF"/>
        <w:spacing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Як бачимо, ті підприємства, які розташовані на територіях, включених до Переліку територій, які є платниками акцизу та провадять діяльність з виробництва, оптової та роздрібної торгівлі пальним, не можуть скористатися нормою щодо того, що ємності, в яких зберігається пальне для генераторів, не включаються до акцизного складу. Все пальне таких підприємств має зберігатися на акцизному складі, і воно може бути використане як для ведення основної діяльності, так і для забезпечення роботи генераторів.</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b/>
          <w:bCs/>
          <w:sz w:val="24"/>
          <w:szCs w:val="24"/>
          <w:lang w:eastAsia="uk-UA"/>
        </w:rPr>
        <w:t>Інші зміни, внесені Законом №3878</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Іншими змінами, внесеними Законом №3878 до ПКУ, також передбачено:</w:t>
      </w:r>
    </w:p>
    <w:p w:rsidR="009930F8" w:rsidRPr="009930F8" w:rsidRDefault="009930F8" w:rsidP="009930F8">
      <w:pPr>
        <w:shd w:val="clear" w:color="auto" w:fill="FFFFFF"/>
        <w:spacing w:after="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 xml:space="preserve">— визначення </w:t>
      </w:r>
      <w:proofErr w:type="spellStart"/>
      <w:r w:rsidRPr="009930F8">
        <w:rPr>
          <w:rFonts w:ascii="Times New Roman" w:eastAsia="Times New Roman" w:hAnsi="Times New Roman" w:cs="Times New Roman"/>
          <w:sz w:val="24"/>
          <w:szCs w:val="24"/>
          <w:lang w:eastAsia="uk-UA"/>
        </w:rPr>
        <w:t>терміна</w:t>
      </w:r>
      <w:proofErr w:type="spellEnd"/>
      <w:r w:rsidRPr="009930F8">
        <w:rPr>
          <w:rFonts w:ascii="Times New Roman" w:eastAsia="Times New Roman" w:hAnsi="Times New Roman" w:cs="Times New Roman"/>
          <w:sz w:val="24"/>
          <w:szCs w:val="24"/>
          <w:lang w:eastAsia="uk-UA"/>
        </w:rPr>
        <w:t xml:space="preserve"> «проміжні продукти» відповідно до </w:t>
      </w:r>
      <w:hyperlink r:id="rId10" w:history="1">
        <w:r w:rsidRPr="009930F8">
          <w:rPr>
            <w:rFonts w:ascii="Times New Roman" w:eastAsia="Times New Roman" w:hAnsi="Times New Roman" w:cs="Times New Roman"/>
            <w:sz w:val="24"/>
            <w:szCs w:val="24"/>
            <w:lang w:eastAsia="uk-UA"/>
          </w:rPr>
          <w:t>Директиви №92/83/ЄС</w:t>
        </w:r>
      </w:hyperlink>
      <w:r w:rsidRPr="009930F8">
        <w:rPr>
          <w:rFonts w:ascii="Times New Roman" w:eastAsia="Times New Roman" w:hAnsi="Times New Roman" w:cs="Times New Roman"/>
          <w:sz w:val="24"/>
          <w:szCs w:val="24"/>
          <w:lang w:eastAsia="uk-UA"/>
        </w:rPr>
        <w:t> від 19 жовтня 1992 року про гармонізацію структур акцизного збору на спирт та алкогольні напої (доповнено п. 14.1 ПКУ новим підпунктом 14.1.26-1);</w:t>
      </w:r>
    </w:p>
    <w:p w:rsidR="009930F8" w:rsidRPr="009930F8" w:rsidRDefault="009930F8" w:rsidP="009930F8">
      <w:pPr>
        <w:shd w:val="clear" w:color="auto" w:fill="FFFFFF"/>
        <w:spacing w:after="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 </w:t>
      </w:r>
      <w:r w:rsidRPr="009930F8">
        <w:rPr>
          <w:rFonts w:ascii="Times New Roman" w:eastAsia="Times New Roman" w:hAnsi="Times New Roman" w:cs="Times New Roman"/>
          <w:b/>
          <w:bCs/>
          <w:sz w:val="24"/>
          <w:szCs w:val="24"/>
          <w:lang w:eastAsia="uk-UA"/>
        </w:rPr>
        <w:t>збільшення розміру ставки акцизного податку</w:t>
      </w:r>
      <w:r w:rsidRPr="009930F8">
        <w:rPr>
          <w:rFonts w:ascii="Times New Roman" w:eastAsia="Times New Roman" w:hAnsi="Times New Roman" w:cs="Times New Roman"/>
          <w:sz w:val="24"/>
          <w:szCs w:val="24"/>
          <w:lang w:eastAsia="uk-UA"/>
        </w:rPr>
        <w:t xml:space="preserve"> для проміжних продуктів з 8,42 до 12,23 гривні за 1 літр (на 3,81 гривні) на вина ігристі та вина газовані, </w:t>
      </w:r>
      <w:proofErr w:type="spellStart"/>
      <w:r w:rsidRPr="009930F8">
        <w:rPr>
          <w:rFonts w:ascii="Times New Roman" w:eastAsia="Times New Roman" w:hAnsi="Times New Roman" w:cs="Times New Roman"/>
          <w:sz w:val="24"/>
          <w:szCs w:val="24"/>
          <w:lang w:eastAsia="uk-UA"/>
        </w:rPr>
        <w:t>зброджені</w:t>
      </w:r>
      <w:proofErr w:type="spellEnd"/>
      <w:r w:rsidRPr="009930F8">
        <w:rPr>
          <w:rFonts w:ascii="Times New Roman" w:eastAsia="Times New Roman" w:hAnsi="Times New Roman" w:cs="Times New Roman"/>
          <w:sz w:val="24"/>
          <w:szCs w:val="24"/>
          <w:lang w:eastAsia="uk-UA"/>
        </w:rPr>
        <w:t xml:space="preserve"> напої, вина (напої) ароматизовані ігристі (газовані) (зміни до </w:t>
      </w:r>
      <w:proofErr w:type="spellStart"/>
      <w:r w:rsidRPr="009930F8">
        <w:rPr>
          <w:rFonts w:ascii="Times New Roman" w:eastAsia="Times New Roman" w:hAnsi="Times New Roman" w:cs="Times New Roman"/>
          <w:sz w:val="24"/>
          <w:szCs w:val="24"/>
          <w:lang w:eastAsia="uk-UA"/>
        </w:rPr>
        <w:fldChar w:fldCharType="begin"/>
      </w:r>
      <w:r w:rsidRPr="009930F8">
        <w:rPr>
          <w:rFonts w:ascii="Times New Roman" w:eastAsia="Times New Roman" w:hAnsi="Times New Roman" w:cs="Times New Roman"/>
          <w:sz w:val="24"/>
          <w:szCs w:val="24"/>
          <w:lang w:eastAsia="uk-UA"/>
        </w:rPr>
        <w:instrText xml:space="preserve"> HYPERLINK "https://docs.dtkt.ua/doc/1011.47.281?page=47" \l "pn6831" </w:instrText>
      </w:r>
      <w:r w:rsidRPr="009930F8">
        <w:rPr>
          <w:rFonts w:ascii="Times New Roman" w:eastAsia="Times New Roman" w:hAnsi="Times New Roman" w:cs="Times New Roman"/>
          <w:sz w:val="24"/>
          <w:szCs w:val="24"/>
          <w:lang w:eastAsia="uk-UA"/>
        </w:rPr>
        <w:fldChar w:fldCharType="separate"/>
      </w:r>
      <w:r w:rsidRPr="009930F8">
        <w:rPr>
          <w:rFonts w:ascii="Times New Roman" w:eastAsia="Times New Roman" w:hAnsi="Times New Roman" w:cs="Times New Roman"/>
          <w:sz w:val="24"/>
          <w:szCs w:val="24"/>
          <w:lang w:eastAsia="uk-UA"/>
        </w:rPr>
        <w:t>пп</w:t>
      </w:r>
      <w:proofErr w:type="spellEnd"/>
      <w:r w:rsidRPr="009930F8">
        <w:rPr>
          <w:rFonts w:ascii="Times New Roman" w:eastAsia="Times New Roman" w:hAnsi="Times New Roman" w:cs="Times New Roman"/>
          <w:sz w:val="24"/>
          <w:szCs w:val="24"/>
          <w:lang w:eastAsia="uk-UA"/>
        </w:rPr>
        <w:t>. 215.3.1 ПКУ</w:t>
      </w:r>
      <w:r w:rsidRPr="009930F8">
        <w:rPr>
          <w:rFonts w:ascii="Times New Roman" w:eastAsia="Times New Roman" w:hAnsi="Times New Roman" w:cs="Times New Roman"/>
          <w:sz w:val="24"/>
          <w:szCs w:val="24"/>
          <w:lang w:eastAsia="uk-UA"/>
        </w:rPr>
        <w:fldChar w:fldCharType="end"/>
      </w:r>
      <w:r w:rsidRPr="009930F8">
        <w:rPr>
          <w:rFonts w:ascii="Times New Roman" w:eastAsia="Times New Roman" w:hAnsi="Times New Roman" w:cs="Times New Roman"/>
          <w:sz w:val="24"/>
          <w:szCs w:val="24"/>
          <w:lang w:eastAsia="uk-UA"/>
        </w:rPr>
        <w:t>). Ці зміни набирають чинності та починають діяти </w:t>
      </w:r>
      <w:r w:rsidRPr="009930F8">
        <w:rPr>
          <w:rFonts w:ascii="Times New Roman" w:eastAsia="Times New Roman" w:hAnsi="Times New Roman" w:cs="Times New Roman"/>
          <w:b/>
          <w:bCs/>
          <w:sz w:val="24"/>
          <w:szCs w:val="24"/>
          <w:lang w:eastAsia="uk-UA"/>
        </w:rPr>
        <w:t>з 1 грудня 2024 року</w:t>
      </w:r>
      <w:r w:rsidRPr="009930F8">
        <w:rPr>
          <w:rFonts w:ascii="Times New Roman" w:eastAsia="Times New Roman" w:hAnsi="Times New Roman" w:cs="Times New Roman"/>
          <w:sz w:val="24"/>
          <w:szCs w:val="24"/>
          <w:lang w:eastAsia="uk-UA"/>
        </w:rPr>
        <w:t>;</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 уточнено термін «загальна сума податкових зобов’язань з акцизного податку на сигарети» та розрахунку частки загальної суми податкових зобов’язань з акцизного податку у середньозваженій роздрібній ціні продажу сигарет (включаючи акцизний податок з роздрібної торгівлі підакцизними товарами);</w:t>
      </w:r>
    </w:p>
    <w:p w:rsidR="009930F8" w:rsidRPr="009930F8" w:rsidRDefault="009930F8" w:rsidP="009930F8">
      <w:pPr>
        <w:shd w:val="clear" w:color="auto" w:fill="FFFFFF"/>
        <w:spacing w:after="150"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 xml:space="preserve">— уточнено термін «середньозважена роздрібна ціна продажу сигарет», а саме: зазначається середньозважена роздрібна ціна продажу сигарет — ціна, розрахована зі суми загальної вартості всіх сигарет (з урахуванням усіх податків, у тому числі суми акцизного податку з роздрібної торгівлі підакцизними товарами), реалізованих виробниками на митній території України та ввезених імпортерами на митну територію України за період з 1 січня до 31 грудня включно звітного року, поділеної на суму загальної кількості реалізованих виробниками та ввезених імпортерами сигарет за той </w:t>
      </w:r>
      <w:r w:rsidRPr="009930F8">
        <w:rPr>
          <w:rFonts w:ascii="Times New Roman" w:eastAsia="Times New Roman" w:hAnsi="Times New Roman" w:cs="Times New Roman"/>
          <w:sz w:val="24"/>
          <w:szCs w:val="24"/>
          <w:lang w:eastAsia="uk-UA"/>
        </w:rPr>
        <w:lastRenderedPageBreak/>
        <w:t>самий період, визначеної у деклараціях акцизного податку за січень — грудень звітного року, з розрахунку на 1 000 штук.</w:t>
      </w:r>
    </w:p>
    <w:p w:rsidR="009930F8" w:rsidRPr="009930F8" w:rsidRDefault="009930F8" w:rsidP="009930F8">
      <w:pPr>
        <w:shd w:val="clear" w:color="auto" w:fill="FFFFFF"/>
        <w:spacing w:line="360" w:lineRule="atLeast"/>
        <w:rPr>
          <w:rFonts w:ascii="Times New Roman" w:eastAsia="Times New Roman" w:hAnsi="Times New Roman" w:cs="Times New Roman"/>
          <w:sz w:val="24"/>
          <w:szCs w:val="24"/>
          <w:lang w:eastAsia="uk-UA"/>
        </w:rPr>
      </w:pPr>
      <w:r w:rsidRPr="009930F8">
        <w:rPr>
          <w:rFonts w:ascii="Times New Roman" w:eastAsia="Times New Roman" w:hAnsi="Times New Roman" w:cs="Times New Roman"/>
          <w:sz w:val="24"/>
          <w:szCs w:val="24"/>
          <w:lang w:eastAsia="uk-UA"/>
        </w:rPr>
        <w:t>Зміни стосовно уточнення цих термінів набирають чинності та починають діяти </w:t>
      </w:r>
      <w:r w:rsidRPr="009930F8">
        <w:rPr>
          <w:rFonts w:ascii="Times New Roman" w:eastAsia="Times New Roman" w:hAnsi="Times New Roman" w:cs="Times New Roman"/>
          <w:b/>
          <w:bCs/>
          <w:sz w:val="24"/>
          <w:szCs w:val="24"/>
          <w:lang w:eastAsia="uk-UA"/>
        </w:rPr>
        <w:t>з 1 січня 2025 року</w:t>
      </w:r>
      <w:r w:rsidRPr="009930F8">
        <w:rPr>
          <w:rFonts w:ascii="Times New Roman" w:eastAsia="Times New Roman" w:hAnsi="Times New Roman" w:cs="Times New Roman"/>
          <w:sz w:val="24"/>
          <w:szCs w:val="24"/>
          <w:lang w:eastAsia="uk-UA"/>
        </w:rPr>
        <w:t>.</w:t>
      </w:r>
    </w:p>
    <w:p w:rsidR="00364102" w:rsidRPr="009930F8" w:rsidRDefault="00364102">
      <w:pPr>
        <w:rPr>
          <w:rFonts w:ascii="Times New Roman" w:hAnsi="Times New Roman" w:cs="Times New Roman"/>
          <w:sz w:val="24"/>
          <w:szCs w:val="24"/>
        </w:rPr>
      </w:pPr>
    </w:p>
    <w:sectPr w:rsidR="00364102" w:rsidRPr="00993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87B84"/>
    <w:multiLevelType w:val="multilevel"/>
    <w:tmpl w:val="A502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0F8"/>
    <w:rsid w:val="00364102"/>
    <w:rsid w:val="009930F8"/>
    <w:rsid w:val="00A65F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C5204"/>
  <w15:chartTrackingRefBased/>
  <w15:docId w15:val="{BC82D5FD-B5D4-436E-AA40-5C2BA678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930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30F8"/>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9930F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9930F8"/>
    <w:rPr>
      <w:color w:val="0000FF"/>
      <w:u w:val="single"/>
    </w:rPr>
  </w:style>
  <w:style w:type="character" w:styleId="a5">
    <w:name w:val="Emphasis"/>
    <w:basedOn w:val="a0"/>
    <w:uiPriority w:val="20"/>
    <w:qFormat/>
    <w:rsid w:val="009930F8"/>
    <w:rPr>
      <w:i/>
      <w:iCs/>
    </w:rPr>
  </w:style>
  <w:style w:type="character" w:styleId="a6">
    <w:name w:val="Strong"/>
    <w:basedOn w:val="a0"/>
    <w:uiPriority w:val="22"/>
    <w:qFormat/>
    <w:rsid w:val="009930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399008">
      <w:bodyDiv w:val="1"/>
      <w:marLeft w:val="0"/>
      <w:marRight w:val="0"/>
      <w:marTop w:val="0"/>
      <w:marBottom w:val="0"/>
      <w:divBdr>
        <w:top w:val="none" w:sz="0" w:space="0" w:color="auto"/>
        <w:left w:val="none" w:sz="0" w:space="0" w:color="auto"/>
        <w:bottom w:val="none" w:sz="0" w:space="0" w:color="auto"/>
        <w:right w:val="none" w:sz="0" w:space="0" w:color="auto"/>
      </w:divBdr>
      <w:divsChild>
        <w:div w:id="2113931780">
          <w:marLeft w:val="0"/>
          <w:marRight w:val="0"/>
          <w:marTop w:val="0"/>
          <w:marBottom w:val="0"/>
          <w:divBdr>
            <w:top w:val="none" w:sz="0" w:space="0" w:color="auto"/>
            <w:left w:val="none" w:sz="0" w:space="0" w:color="auto"/>
            <w:bottom w:val="single" w:sz="6" w:space="9" w:color="EDEDEF"/>
            <w:right w:val="none" w:sz="0" w:space="0" w:color="auto"/>
          </w:divBdr>
          <w:divsChild>
            <w:div w:id="665481037">
              <w:marLeft w:val="0"/>
              <w:marRight w:val="0"/>
              <w:marTop w:val="0"/>
              <w:marBottom w:val="0"/>
              <w:divBdr>
                <w:top w:val="none" w:sz="0" w:space="0" w:color="auto"/>
                <w:left w:val="none" w:sz="0" w:space="0" w:color="auto"/>
                <w:bottom w:val="none" w:sz="0" w:space="0" w:color="auto"/>
                <w:right w:val="none" w:sz="0" w:space="0" w:color="auto"/>
              </w:divBdr>
            </w:div>
          </w:divsChild>
        </w:div>
        <w:div w:id="172228668">
          <w:marLeft w:val="0"/>
          <w:marRight w:val="0"/>
          <w:marTop w:val="0"/>
          <w:marBottom w:val="0"/>
          <w:divBdr>
            <w:top w:val="none" w:sz="0" w:space="0" w:color="auto"/>
            <w:left w:val="none" w:sz="0" w:space="0" w:color="auto"/>
            <w:bottom w:val="none" w:sz="0" w:space="0" w:color="auto"/>
            <w:right w:val="none" w:sz="0" w:space="0" w:color="auto"/>
          </w:divBdr>
          <w:divsChild>
            <w:div w:id="395857242">
              <w:marLeft w:val="0"/>
              <w:marRight w:val="0"/>
              <w:marTop w:val="0"/>
              <w:marBottom w:val="0"/>
              <w:divBdr>
                <w:top w:val="none" w:sz="0" w:space="0" w:color="auto"/>
                <w:left w:val="none" w:sz="0" w:space="0" w:color="auto"/>
                <w:bottom w:val="none" w:sz="0" w:space="0" w:color="auto"/>
                <w:right w:val="none" w:sz="0" w:space="0" w:color="auto"/>
              </w:divBdr>
            </w:div>
          </w:divsChild>
        </w:div>
        <w:div w:id="567115277">
          <w:marLeft w:val="0"/>
          <w:marRight w:val="0"/>
          <w:marTop w:val="0"/>
          <w:marBottom w:val="0"/>
          <w:divBdr>
            <w:top w:val="none" w:sz="0" w:space="0" w:color="auto"/>
            <w:left w:val="none" w:sz="0" w:space="0" w:color="auto"/>
            <w:bottom w:val="none" w:sz="0" w:space="0" w:color="auto"/>
            <w:right w:val="none" w:sz="0" w:space="0" w:color="auto"/>
          </w:divBdr>
          <w:divsChild>
            <w:div w:id="1785690903">
              <w:marLeft w:val="0"/>
              <w:marRight w:val="0"/>
              <w:marTop w:val="0"/>
              <w:marBottom w:val="600"/>
              <w:divBdr>
                <w:top w:val="none" w:sz="0" w:space="0" w:color="auto"/>
                <w:left w:val="none" w:sz="0" w:space="0" w:color="auto"/>
                <w:bottom w:val="none" w:sz="0" w:space="0" w:color="auto"/>
                <w:right w:val="none" w:sz="0" w:space="0" w:color="auto"/>
              </w:divBdr>
              <w:divsChild>
                <w:div w:id="288556839">
                  <w:marLeft w:val="0"/>
                  <w:marRight w:val="0"/>
                  <w:marTop w:val="0"/>
                  <w:marBottom w:val="0"/>
                  <w:divBdr>
                    <w:top w:val="none" w:sz="0" w:space="0" w:color="auto"/>
                    <w:left w:val="none" w:sz="0" w:space="0" w:color="auto"/>
                    <w:bottom w:val="none" w:sz="0" w:space="0" w:color="auto"/>
                    <w:right w:val="none" w:sz="0" w:space="0" w:color="auto"/>
                  </w:divBdr>
                  <w:divsChild>
                    <w:div w:id="633369275">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dtkt.ua/doc/1011.47.281?page=48" TargetMode="External"/><Relationship Id="rId3" Type="http://schemas.openxmlformats.org/officeDocument/2006/relationships/settings" Target="settings.xml"/><Relationship Id="rId7" Type="http://schemas.openxmlformats.org/officeDocument/2006/relationships/hyperlink" Target="https://docs.dtkt.ua/doc/1011.47.281?page=4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dtkt.ua/doc/3817-20" TargetMode="External"/><Relationship Id="rId11" Type="http://schemas.openxmlformats.org/officeDocument/2006/relationships/fontTable" Target="fontTable.xml"/><Relationship Id="rId5" Type="http://schemas.openxmlformats.org/officeDocument/2006/relationships/hyperlink" Target="https://docs.dtkt.ua/doc/3878-20" TargetMode="External"/><Relationship Id="rId10" Type="http://schemas.openxmlformats.org/officeDocument/2006/relationships/hyperlink" Target="https://docs.dtkt.ua/doc/994_430" TargetMode="External"/><Relationship Id="rId4" Type="http://schemas.openxmlformats.org/officeDocument/2006/relationships/webSettings" Target="webSettings.xml"/><Relationship Id="rId9" Type="http://schemas.openxmlformats.org/officeDocument/2006/relationships/hyperlink" Target="https://docs.dtkt.ua/doc/1011.47.281?page=7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7877</Words>
  <Characters>4490</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2024-09-09T13:22:00Z</dcterms:created>
  <dcterms:modified xsi:type="dcterms:W3CDTF">2024-09-09T13:26:00Z</dcterms:modified>
</cp:coreProperties>
</file>