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B851" w14:textId="77777777" w:rsidR="00211833" w:rsidRPr="0054167B" w:rsidRDefault="008B409C" w:rsidP="0054167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/>
          <w:lang w:eastAsia="ru-RU"/>
        </w:rPr>
      </w:pPr>
      <w:r w:rsidRPr="0054167B">
        <w:rPr>
          <w:b/>
          <w:lang w:eastAsia="ru-RU"/>
        </w:rPr>
        <w:t>Відповідно до ст. 122 КАС України загальний строк звернення до адміністративного суду становить шість місяців з дня, коли особа дізналась або повинна була дізнатись про порушення своїх прав, свобод чи інтересів</w:t>
      </w:r>
      <w:r w:rsidR="00211833" w:rsidRPr="0054167B">
        <w:rPr>
          <w:b/>
          <w:lang w:eastAsia="ru-RU"/>
        </w:rPr>
        <w:t>.</w:t>
      </w:r>
    </w:p>
    <w:p w14:paraId="0E18D92A" w14:textId="77777777" w:rsidR="00211833" w:rsidRPr="007415C6" w:rsidRDefault="00211833" w:rsidP="0054167B">
      <w:pPr>
        <w:pStyle w:val="a3"/>
        <w:spacing w:before="0" w:beforeAutospacing="0" w:after="0" w:afterAutospacing="0"/>
        <w:ind w:firstLine="709"/>
        <w:jc w:val="both"/>
        <w:rPr>
          <w:u w:val="single"/>
          <w:lang w:eastAsia="ru-RU"/>
        </w:rPr>
      </w:pPr>
      <w:r w:rsidRPr="007415C6">
        <w:rPr>
          <w:u w:val="single"/>
          <w:lang w:eastAsia="ru-RU"/>
        </w:rPr>
        <w:t>У зв’язку з вище зазначеним, необхідно звернути увагу, зокрема але не виключно на наступні висновки суду:</w:t>
      </w:r>
    </w:p>
    <w:p w14:paraId="6A4FDCA6" w14:textId="77777777" w:rsidR="00211833" w:rsidRDefault="00211833" w:rsidP="0054167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>
        <w:rPr>
          <w:lang w:eastAsia="ru-RU"/>
        </w:rPr>
        <w:t xml:space="preserve">Постановою </w:t>
      </w:r>
      <w:r>
        <w:t>Верховного Суду</w:t>
      </w:r>
      <w:r>
        <w:rPr>
          <w:lang w:eastAsia="ru-RU"/>
        </w:rPr>
        <w:t xml:space="preserve"> від 11.10.2019 </w:t>
      </w:r>
      <w:r w:rsidR="008B409C">
        <w:rPr>
          <w:lang w:eastAsia="ru-RU"/>
        </w:rPr>
        <w:t xml:space="preserve">у справі № 640/20468/18 </w:t>
      </w:r>
      <w:r>
        <w:rPr>
          <w:lang w:eastAsia="ru-RU"/>
        </w:rPr>
        <w:t xml:space="preserve">надано позицію, щодо </w:t>
      </w:r>
      <w:r w:rsidRPr="00CD28BF">
        <w:rPr>
          <w:lang w:eastAsia="ru-RU"/>
        </w:rPr>
        <w:t xml:space="preserve">строку звернення до суду з позовом про скасування рішення суб`єкта владних повноважень, не пов`язаного із визначенням грошових зобов`язань, </w:t>
      </w:r>
    </w:p>
    <w:p w14:paraId="14D0B595" w14:textId="77777777" w:rsidR="00211833" w:rsidRPr="00CD28BF" w:rsidRDefault="00211833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Якщо</w:t>
      </w:r>
      <w:r w:rsidRPr="00CD28BF">
        <w:rPr>
          <w:lang w:eastAsia="ru-RU"/>
        </w:rPr>
        <w:t xml:space="preserve"> позивач не використовував процедур</w:t>
      </w:r>
      <w:r>
        <w:rPr>
          <w:lang w:eastAsia="ru-RU"/>
        </w:rPr>
        <w:t xml:space="preserve">у адміністративного оскарження </w:t>
      </w:r>
      <w:r w:rsidRPr="00CD28BF">
        <w:rPr>
          <w:lang w:eastAsia="ru-RU"/>
        </w:rPr>
        <w:t>строк звернення до суду становить шість місяців з дн</w:t>
      </w:r>
      <w:r>
        <w:rPr>
          <w:lang w:eastAsia="ru-RU"/>
        </w:rPr>
        <w:t xml:space="preserve">я прийняття оскаржуваних рішень, </w:t>
      </w:r>
      <w:r w:rsidRPr="00B52C40">
        <w:rPr>
          <w:lang w:eastAsia="ru-RU"/>
        </w:rPr>
        <w:t>такий підхід відповідає правовому регулюванню та усталеній судовій практиці.</w:t>
      </w:r>
    </w:p>
    <w:p w14:paraId="25D2D079" w14:textId="77777777" w:rsidR="00211833" w:rsidRDefault="00211833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 w:rsidRPr="00B52C40">
        <w:rPr>
          <w:lang w:eastAsia="ru-RU"/>
        </w:rPr>
        <w:t xml:space="preserve">Про відмову у реєстрації податкової накладної не визначено спеціальних строків на адміністративне оскарження, застосуванню підлягають загальні строки, що визначені у </w:t>
      </w:r>
      <w:r>
        <w:rPr>
          <w:lang w:eastAsia="ru-RU"/>
        </w:rPr>
        <w:br/>
      </w:r>
      <w:hyperlink r:id="rId7" w:anchor="12228" w:tgtFrame="_blank" w:tooltip="Податковий кодекс України (ред. з 01.01.2017); нормативно-правовий акт № 2755-VI від 02.12.2010, ВР України" w:history="1">
        <w:r w:rsidRPr="00B52C40">
          <w:rPr>
            <w:lang w:eastAsia="ru-RU"/>
          </w:rPr>
          <w:t>статті 56 ПК України</w:t>
        </w:r>
      </w:hyperlink>
      <w:r w:rsidRPr="00B52C40">
        <w:rPr>
          <w:lang w:eastAsia="ru-RU"/>
        </w:rPr>
        <w:t>.</w:t>
      </w:r>
    </w:p>
    <w:p w14:paraId="23948667" w14:textId="77777777" w:rsidR="006225D7" w:rsidRDefault="006225D7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Так, за змістом</w:t>
      </w:r>
      <w:hyperlink r:id="rId8" w:anchor="26759" w:tgtFrame="_blank" w:tooltip="Податковий кодекс України (ред. з 01.01.2017); нормативно-правовий акт № 2755-VI від 02.12.2010, ВР України" w:history="1">
        <w:r w:rsidR="00211833" w:rsidRPr="00B52C40">
          <w:rPr>
            <w:lang w:eastAsia="ru-RU"/>
          </w:rPr>
          <w:t xml:space="preserve"> статті 56 ПК України</w:t>
        </w:r>
      </w:hyperlink>
      <w:r w:rsidR="00211833" w:rsidRPr="00CD28BF">
        <w:rPr>
          <w:lang w:eastAsia="ru-RU"/>
        </w:rPr>
        <w:t xml:space="preserve"> </w:t>
      </w:r>
      <w:r w:rsidRPr="006225D7">
        <w:rPr>
          <w:lang w:eastAsia="ru-RU"/>
        </w:rPr>
        <w:t>інші рішення контролюючих органів, які не стосуються нарахування грошових зобов`язань платника податків, за умови попереднього використання позивачем досудового порядку вирішення спору</w:t>
      </w:r>
      <w:r>
        <w:rPr>
          <w:lang w:eastAsia="ru-RU"/>
        </w:rPr>
        <w:t xml:space="preserve"> оскаржуються в судовому порядку у тримісячний строк для звернення до суду встановлюється за умови, якщо рішення контролюючого органу за результатами розгляду скарги було прийнято та вручено платнику податків (скаржнику) у строки, встановлені ПК України. При цьому такий строк обчислюється з дня вручення скаржнику рішення за результатами розгляду його скарги на рішення контролюючого органу;</w:t>
      </w:r>
    </w:p>
    <w:p w14:paraId="13F4EC18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Вказана правова позиція вкотре обґрунтована Постановою КАС ВС від 05.02.2025 у справі № 160/18093/24.</w:t>
      </w:r>
    </w:p>
    <w:p w14:paraId="361223EB" w14:textId="77777777" w:rsidR="00211833" w:rsidRDefault="00211833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</w:p>
    <w:p w14:paraId="70F8C7FC" w14:textId="77777777" w:rsidR="0054167B" w:rsidRPr="0054167B" w:rsidRDefault="0054167B" w:rsidP="0054167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/>
          <w:lang w:eastAsia="ru-RU"/>
        </w:rPr>
      </w:pPr>
      <w:r w:rsidRPr="0054167B">
        <w:rPr>
          <w:b/>
          <w:lang w:eastAsia="ru-RU"/>
        </w:rPr>
        <w:t>Прийняття рішення про відмову у разі ненадання документів на додаткове повідомлення</w:t>
      </w:r>
    </w:p>
    <w:p w14:paraId="131CF1AE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 xml:space="preserve">Перелік документів, необхідних для розгляду питання прийняття комісією регіонального рівня рішення про реєстрацію/відмову в реєстрації податкової накладної/розрахунку коригування в ЄРПН, реєстрацію яких зупинено в ЄРПН, визначено в п. 5 </w:t>
      </w:r>
      <w:hyperlink r:id="rId9" w:tgtFrame="_blank" w:history="1">
        <w:r w:rsidRPr="00F024A2">
          <w:rPr>
            <w:lang w:eastAsia="ru-RU"/>
          </w:rPr>
          <w:t>Порядку</w:t>
        </w:r>
      </w:hyperlink>
      <w:r>
        <w:rPr>
          <w:lang w:eastAsia="ru-RU"/>
        </w:rPr>
        <w:t xml:space="preserve"> прийняття рішень про реєстрацію/відмову в реєстрації ПН/РК в ЄРПН, затвердженого наказом Міністерства фінансів України </w:t>
      </w:r>
      <w:hyperlink r:id="rId10" w:tgtFrame="_blank" w:history="1">
        <w:r w:rsidRPr="00F024A2">
          <w:rPr>
            <w:lang w:eastAsia="ru-RU"/>
          </w:rPr>
          <w:t>від 12.12.2019 № 520</w:t>
        </w:r>
      </w:hyperlink>
      <w:r>
        <w:rPr>
          <w:lang w:eastAsia="ru-RU"/>
        </w:rPr>
        <w:t xml:space="preserve"> (зі змінами).</w:t>
      </w:r>
    </w:p>
    <w:p w14:paraId="58705FAD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 xml:space="preserve">Наказом Мінфіну </w:t>
      </w:r>
      <w:hyperlink r:id="rId11" w:tgtFrame="_blank" w:history="1">
        <w:r w:rsidRPr="00F024A2">
          <w:rPr>
            <w:lang w:eastAsia="ru-RU"/>
          </w:rPr>
          <w:t>від 12.01.2023 р. № 19</w:t>
        </w:r>
      </w:hyperlink>
      <w:r>
        <w:rPr>
          <w:lang w:eastAsia="ru-RU"/>
        </w:rPr>
        <w:t xml:space="preserve"> затверджені зміни до </w:t>
      </w:r>
      <w:hyperlink r:id="rId12" w:tgtFrame="_blank" w:history="1">
        <w:r w:rsidRPr="00F024A2">
          <w:rPr>
            <w:lang w:eastAsia="ru-RU"/>
          </w:rPr>
          <w:t>Порядку</w:t>
        </w:r>
      </w:hyperlink>
      <w:r>
        <w:rPr>
          <w:lang w:eastAsia="ru-RU"/>
        </w:rPr>
        <w:t xml:space="preserve"> прийняття рішень про реєстрацію/відмову в реєстрації ПН/РК в ЄРПН. Передбачено, що за результатами </w:t>
      </w:r>
      <w:r w:rsidRPr="00F024A2">
        <w:rPr>
          <w:lang w:eastAsia="ru-RU"/>
        </w:rPr>
        <w:t>розгляду поданих письмових пояснень та копій документів комісія регіонального рівня упродовж 5 робочих днів:</w:t>
      </w:r>
    </w:p>
    <w:p w14:paraId="6A1343EA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або приймає рішення про реєстрацію ПН/РК в РПН та надсилає його платнику податку;</w:t>
      </w:r>
    </w:p>
    <w:p w14:paraId="00216092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або направляє повідомлення про необхідність надання додаткових пояснень та/або документів, необхідних для розгляду питання прийняття комісією регіонального рівня рішення про реєстрацію ПН/РК в ЄРПН з пропозицією щодо надання додаткових пояснень та копій документів на підтвердження інформації, зазначеної у ПН/РК;</w:t>
      </w:r>
    </w:p>
    <w:p w14:paraId="1B827E7C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або приймає рішення про відмову в реєстрації ПН/РК в ЄРПН у разі надання платником податку копій документів, складених/оформлених із порушенням законодавства, та надсилає його платнику.</w:t>
      </w:r>
    </w:p>
    <w:p w14:paraId="783B0C6C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Платник податку має право подати додаткові пояснення та копії документів на підтвердження інформації, зазначеної у ПН/РК, протягом 5 робочих днів з дня, наступного за днем отримання Повідомлення. Такі пояснення та копії документів, платник подає до ДПС в електронній формі.</w:t>
      </w:r>
    </w:p>
    <w:p w14:paraId="0C588E5D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реєстрацію/відмову в реєстрації ПН/РК в ЄРПН.</w:t>
      </w:r>
    </w:p>
    <w:p w14:paraId="3C5A3451" w14:textId="77777777" w:rsidR="008B409C" w:rsidRDefault="008B409C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 w:rsidRPr="006225D7">
        <w:rPr>
          <w:b/>
          <w:u w:val="single"/>
          <w:lang w:eastAsia="ru-RU"/>
        </w:rPr>
        <w:t>Якщо платник не надав додаткових пояснень</w:t>
      </w:r>
      <w:r w:rsidR="006225D7" w:rsidRPr="006225D7">
        <w:rPr>
          <w:b/>
          <w:u w:val="single"/>
          <w:lang w:eastAsia="ru-RU"/>
        </w:rPr>
        <w:t xml:space="preserve"> на повідомлення</w:t>
      </w:r>
      <w:r w:rsidR="006225D7">
        <w:rPr>
          <w:lang w:eastAsia="ru-RU"/>
        </w:rPr>
        <w:t xml:space="preserve"> </w:t>
      </w:r>
      <w:r>
        <w:rPr>
          <w:lang w:eastAsia="ru-RU"/>
        </w:rPr>
        <w:t xml:space="preserve">та копій документів на підтвердження інформації, зазначеної у ПН/РК </w:t>
      </w:r>
      <w:r w:rsidRPr="006225D7">
        <w:rPr>
          <w:b/>
          <w:u w:val="single"/>
          <w:lang w:eastAsia="ru-RU"/>
        </w:rPr>
        <w:t xml:space="preserve">комісія приймає рішення про </w:t>
      </w:r>
      <w:r w:rsidRPr="006225D7">
        <w:rPr>
          <w:b/>
          <w:u w:val="single"/>
          <w:lang w:eastAsia="ru-RU"/>
        </w:rPr>
        <w:lastRenderedPageBreak/>
        <w:t>відмову у реєстрації ПН/РК</w:t>
      </w:r>
      <w:r>
        <w:rPr>
          <w:lang w:eastAsia="ru-RU"/>
        </w:rPr>
        <w:t xml:space="preserve"> протягом 5 днів, що настають за днем граничного строку </w:t>
      </w:r>
      <w:r w:rsidR="006225D7">
        <w:rPr>
          <w:lang w:eastAsia="ru-RU"/>
        </w:rPr>
        <w:t>їх подання.</w:t>
      </w:r>
    </w:p>
    <w:p w14:paraId="6B95D98B" w14:textId="77777777" w:rsidR="003D1CEE" w:rsidRPr="00770631" w:rsidRDefault="003D1CEE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 w:rsidRPr="00594863">
        <w:rPr>
          <w:lang w:eastAsia="ru-RU"/>
        </w:rPr>
        <w:t>Отже, відсутність документів на електронні повідомлення контролюючого органу з пропозицією підтвердити сукупністю доказів щодо придбання, оплати, зберігання, транспортування та обліку на складі товариства, є обґрунтованою підставою для винесення рішення про відмову в реєстрації РК.</w:t>
      </w:r>
    </w:p>
    <w:p w14:paraId="6EC7ACB1" w14:textId="77777777" w:rsidR="008B409C" w:rsidRDefault="001F0938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>Зазна</w:t>
      </w:r>
      <w:r w:rsidR="006225D7">
        <w:rPr>
          <w:lang w:eastAsia="ru-RU"/>
        </w:rPr>
        <w:t>чена правова позиція підтверджується Постанов</w:t>
      </w:r>
      <w:r>
        <w:rPr>
          <w:lang w:eastAsia="ru-RU"/>
        </w:rPr>
        <w:t>ами судів апеляційної інстанції, зокрема у справах № 380/7481/24, № 380/8435/24, 160/25628/23, 380/3396/24</w:t>
      </w:r>
      <w:r w:rsidR="00CD6B89">
        <w:rPr>
          <w:lang w:eastAsia="ru-RU"/>
        </w:rPr>
        <w:t>.</w:t>
      </w:r>
    </w:p>
    <w:p w14:paraId="7D390499" w14:textId="77777777" w:rsidR="0054167B" w:rsidRDefault="0054167B" w:rsidP="0054167B">
      <w:pPr>
        <w:pStyle w:val="a3"/>
        <w:spacing w:before="0" w:beforeAutospacing="0" w:after="0" w:afterAutospacing="0"/>
        <w:jc w:val="both"/>
        <w:rPr>
          <w:lang w:eastAsia="ru-RU"/>
        </w:rPr>
      </w:pPr>
    </w:p>
    <w:p w14:paraId="0F725CFE" w14:textId="77777777" w:rsidR="00CD6B89" w:rsidRPr="0054167B" w:rsidRDefault="00CD6B89" w:rsidP="0054167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/>
          <w:lang w:eastAsia="ru-RU"/>
        </w:rPr>
      </w:pPr>
      <w:r w:rsidRPr="0054167B">
        <w:rPr>
          <w:b/>
          <w:lang w:eastAsia="ru-RU"/>
        </w:rPr>
        <w:t>При дослідженні правомірності оскаржуваних рішень про відмову у реєстрації ПН/РК судом підлягають врахуванню лише ті документи, що подавались платником безпосередньо суб’єкту владних повноважень, який приймав відповідні рішення.</w:t>
      </w:r>
    </w:p>
    <w:p w14:paraId="3166360B" w14:textId="77777777" w:rsidR="003D1CEE" w:rsidRDefault="00CD6B89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 xml:space="preserve">Така правова позиція узгоджується з Постановою ВС КАС від 13.02.2024 у справі </w:t>
      </w:r>
      <w:r>
        <w:rPr>
          <w:lang w:eastAsia="ru-RU"/>
        </w:rPr>
        <w:br/>
        <w:t>№ 240/5563/23</w:t>
      </w:r>
      <w:r w:rsidR="003D1CEE">
        <w:rPr>
          <w:lang w:eastAsia="ru-RU"/>
        </w:rPr>
        <w:t>, а саме, надана Позивачем в ході розгляду справи додаткова угода не може бути належним доказом, оскільки не була надана до контролюючого органу під час реєстрації ПН</w:t>
      </w:r>
      <w:r>
        <w:rPr>
          <w:lang w:eastAsia="ru-RU"/>
        </w:rPr>
        <w:t>,</w:t>
      </w:r>
      <w:r w:rsidR="003D1CEE">
        <w:rPr>
          <w:lang w:eastAsia="ru-RU"/>
        </w:rPr>
        <w:t xml:space="preserve"> а відтак їй не була надана оцінка податковим органом.</w:t>
      </w:r>
      <w:r>
        <w:rPr>
          <w:lang w:eastAsia="ru-RU"/>
        </w:rPr>
        <w:t xml:space="preserve"> </w:t>
      </w:r>
    </w:p>
    <w:p w14:paraId="39341F8F" w14:textId="77777777" w:rsidR="00CD6B89" w:rsidRDefault="00CD6B89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 xml:space="preserve">Постановою П’ятого апеляційного адміністративного суду </w:t>
      </w:r>
      <w:r>
        <w:rPr>
          <w:lang w:eastAsia="ru-RU"/>
        </w:rPr>
        <w:br/>
        <w:t>від 21.10.2024 у справі № 400/1467/24</w:t>
      </w:r>
      <w:r w:rsidR="003D1CEE">
        <w:rPr>
          <w:lang w:eastAsia="ru-RU"/>
        </w:rPr>
        <w:t xml:space="preserve"> зазначено, що надані суду додаткові документи не враховуються, оскільки вони мали бути надані саме контролюючому органу і ним оцінюватись відповідно до нормативно передбаченої процедури.</w:t>
      </w:r>
    </w:p>
    <w:p w14:paraId="1FAB8971" w14:textId="77777777" w:rsidR="001F0938" w:rsidRDefault="001F0938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lang w:eastAsia="ru-RU"/>
        </w:rPr>
        <w:t xml:space="preserve">Аналогічна правова позиція висловлена у постановах Восьмого апеляційного адміністративного суду у справах № </w:t>
      </w:r>
      <w:r w:rsidRPr="001F0938">
        <w:rPr>
          <w:lang w:eastAsia="ru-RU"/>
        </w:rPr>
        <w:t>380/18173/22</w:t>
      </w:r>
      <w:r>
        <w:rPr>
          <w:lang w:eastAsia="ru-RU"/>
        </w:rPr>
        <w:t xml:space="preserve"> та № 140/20330/23.</w:t>
      </w:r>
    </w:p>
    <w:p w14:paraId="12C47B63" w14:textId="77777777" w:rsidR="003D1CEE" w:rsidRDefault="003D1CEE" w:rsidP="0054167B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</w:p>
    <w:p w14:paraId="16BE3572" w14:textId="77777777" w:rsidR="00344842" w:rsidRDefault="00344842" w:rsidP="0054167B">
      <w:pPr>
        <w:pStyle w:val="ab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51DE6" w14:textId="77777777" w:rsidR="00344842" w:rsidRDefault="00344842" w:rsidP="0054167B">
      <w:pPr>
        <w:pStyle w:val="ab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8BEF9" w14:textId="77777777" w:rsidR="0041102F" w:rsidRPr="0054167B" w:rsidRDefault="0041102F" w:rsidP="0054167B">
      <w:pPr>
        <w:pStyle w:val="ab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67B">
        <w:rPr>
          <w:rFonts w:ascii="Times New Roman" w:eastAsia="Times New Roman" w:hAnsi="Times New Roman" w:cs="Times New Roman"/>
          <w:b/>
          <w:sz w:val="24"/>
          <w:szCs w:val="24"/>
        </w:rPr>
        <w:t>Судами сформовано позицію, що відсутність у квитанціях про зупинення реєстрації податкових накладних конкретного переліку документів, необхідних для прийняття рішення про реєстрацію податкової накладної</w:t>
      </w:r>
      <w:r w:rsidRPr="0054167B">
        <w:rPr>
          <w:rFonts w:ascii="Times New Roman" w:hAnsi="Times New Roman" w:cs="Times New Roman"/>
          <w:sz w:val="24"/>
          <w:szCs w:val="24"/>
        </w:rPr>
        <w:t xml:space="preserve"> </w:t>
      </w:r>
      <w:r w:rsidRPr="0054167B">
        <w:rPr>
          <w:rFonts w:ascii="Times New Roman" w:hAnsi="Times New Roman" w:cs="Times New Roman"/>
          <w:b/>
          <w:sz w:val="24"/>
          <w:szCs w:val="24"/>
        </w:rPr>
        <w:t xml:space="preserve">призводить до неможливості надати достатній обсяг підтверджуючих документів для прийняття рішення про реєстрацію податкової накладної. </w:t>
      </w:r>
    </w:p>
    <w:p w14:paraId="313315B3" w14:textId="77777777" w:rsidR="0041102F" w:rsidRPr="0054167B" w:rsidRDefault="0041102F" w:rsidP="0054167B">
      <w:pPr>
        <w:pStyle w:val="ab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7B">
        <w:rPr>
          <w:rFonts w:ascii="Times New Roman" w:hAnsi="Times New Roman" w:cs="Times New Roman"/>
          <w:sz w:val="24"/>
          <w:szCs w:val="24"/>
        </w:rPr>
        <w:t>При цьому, можливість надання платником податків вичерпного переліку документів на підтвердження правомірності формування та подання податкової накладної прямо залежить від чіткого визначення податковим органом конкретного виду критерію оцінки ступеня ризиків з зазначенням необхідності надання документів за вичерпним переліком, відповідно до критерію зупинення реєстрації податкової накладної, а не довільно, на власний розсуд.</w:t>
      </w:r>
    </w:p>
    <w:p w14:paraId="0FD43332" w14:textId="77777777" w:rsidR="00344842" w:rsidRPr="0054167B" w:rsidRDefault="0041102F" w:rsidP="0054167B">
      <w:pPr>
        <w:pStyle w:val="ab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67B">
        <w:rPr>
          <w:rFonts w:ascii="Times New Roman" w:hAnsi="Times New Roman" w:cs="Times New Roman"/>
          <w:b/>
          <w:sz w:val="24"/>
          <w:szCs w:val="24"/>
        </w:rPr>
        <w:t>Однак,</w:t>
      </w:r>
      <w:r w:rsidRPr="0054167B">
        <w:rPr>
          <w:rFonts w:ascii="Times New Roman" w:hAnsi="Times New Roman" w:cs="Times New Roman"/>
          <w:sz w:val="24"/>
          <w:szCs w:val="24"/>
        </w:rPr>
        <w:t xml:space="preserve"> </w:t>
      </w:r>
      <w:r w:rsidR="0054167B" w:rsidRPr="0054167B">
        <w:rPr>
          <w:rFonts w:ascii="Times New Roman" w:hAnsi="Times New Roman" w:cs="Times New Roman"/>
          <w:b/>
          <w:sz w:val="24"/>
          <w:szCs w:val="24"/>
        </w:rPr>
        <w:t>к</w:t>
      </w:r>
      <w:r w:rsidR="003D1CEE" w:rsidRPr="0054167B">
        <w:rPr>
          <w:rFonts w:ascii="Times New Roman" w:eastAsia="Times New Roman" w:hAnsi="Times New Roman" w:cs="Times New Roman"/>
          <w:b/>
          <w:sz w:val="24"/>
          <w:szCs w:val="24"/>
        </w:rPr>
        <w:t xml:space="preserve">онтролюючим органом у червні 2024 року внесено технічні зміни до форми квитанції, шляхом зазначення </w:t>
      </w:r>
      <w:r w:rsidRPr="0054167B">
        <w:rPr>
          <w:rFonts w:ascii="Times New Roman" w:eastAsia="Times New Roman" w:hAnsi="Times New Roman" w:cs="Times New Roman"/>
          <w:b/>
          <w:sz w:val="24"/>
          <w:szCs w:val="24"/>
        </w:rPr>
        <w:t>рекомендованого</w:t>
      </w:r>
      <w:r w:rsidR="003D1CEE" w:rsidRPr="0054167B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переліку документів необхідних для прийняття рішення К</w:t>
      </w:r>
      <w:r w:rsidR="00344842" w:rsidRPr="0054167B">
        <w:rPr>
          <w:rFonts w:ascii="Times New Roman" w:hAnsi="Times New Roman" w:cs="Times New Roman"/>
          <w:b/>
          <w:sz w:val="24"/>
          <w:szCs w:val="24"/>
        </w:rPr>
        <w:t xml:space="preserve">омісією рішення щодо реєстрації, визначених  </w:t>
      </w:r>
      <w:r w:rsidR="00344842" w:rsidRPr="0054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5 Порядку №520, який може включати:</w:t>
      </w:r>
    </w:p>
    <w:p w14:paraId="5ABCBD5C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договори, зокрема зовнішньоекономічні контракти, з додатками до них;</w:t>
      </w:r>
    </w:p>
    <w:p w14:paraId="15B9551B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</w:r>
    </w:p>
    <w:p w14:paraId="0202A8C1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</w:r>
    </w:p>
    <w:p w14:paraId="3B10B394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 документи та/або банківські виписки з особових рахунків;</w:t>
      </w:r>
    </w:p>
    <w:p w14:paraId="0AC608D7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</w:r>
    </w:p>
    <w:p w14:paraId="6A4DE2F0" w14:textId="77777777" w:rsidR="00344842" w:rsidRPr="0054167B" w:rsidRDefault="00344842" w:rsidP="0054167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документи що підтверджують інформацію зазначену в ПН/РК.</w:t>
      </w:r>
    </w:p>
    <w:p w14:paraId="4908124A" w14:textId="77777777" w:rsidR="0041102F" w:rsidRPr="0054167B" w:rsidRDefault="0041102F" w:rsidP="0054167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27972" w14:textId="77777777" w:rsidR="0041102F" w:rsidRPr="0054167B" w:rsidRDefault="0041102F" w:rsidP="0054167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вищевказане, при винесенні рішень у справах де наявні квитанції нової форми, суди відступають від раніше сформованої позиції, що квитанція </w:t>
      </w:r>
      <w:r w:rsidR="0054167B"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є обґрунтованою, як акт індивідуальної дії та формується нова правова позиція судів, де суди не досліджують форму, зміст та суть квитанції, а враховують те, що остання містить пропозицію про надання документів за вичерпним переліком та достатність таких документів для реєстрації податкової накладн</w:t>
      </w:r>
      <w:r w:rsid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(Восьмий апеляційний адміністративний суд, Дніпропетровський окружний адміністративний суд застосовують практику у справі 440/5004/23 Пирятинський Делікатес).</w:t>
      </w:r>
      <w:r w:rsidRPr="0054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E9FF14" w14:textId="77777777" w:rsidR="00F54196" w:rsidRDefault="00F54196" w:rsidP="0054167B">
      <w:pPr>
        <w:ind w:firstLine="709"/>
        <w:jc w:val="both"/>
      </w:pPr>
    </w:p>
    <w:sectPr w:rsidR="00F54196" w:rsidSect="007415C6">
      <w:headerReference w:type="defaul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E55A" w14:textId="77777777" w:rsidR="00622FFD" w:rsidRDefault="00622FFD" w:rsidP="007415C6">
      <w:pPr>
        <w:spacing w:after="0" w:line="240" w:lineRule="auto"/>
      </w:pPr>
      <w:r>
        <w:separator/>
      </w:r>
    </w:p>
  </w:endnote>
  <w:endnote w:type="continuationSeparator" w:id="0">
    <w:p w14:paraId="0751CE47" w14:textId="77777777" w:rsidR="00622FFD" w:rsidRDefault="00622FFD" w:rsidP="0074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D5C5" w14:textId="77777777" w:rsidR="00622FFD" w:rsidRDefault="00622FFD" w:rsidP="007415C6">
      <w:pPr>
        <w:spacing w:after="0" w:line="240" w:lineRule="auto"/>
      </w:pPr>
      <w:r>
        <w:separator/>
      </w:r>
    </w:p>
  </w:footnote>
  <w:footnote w:type="continuationSeparator" w:id="0">
    <w:p w14:paraId="59AAFCDD" w14:textId="77777777" w:rsidR="00622FFD" w:rsidRDefault="00622FFD" w:rsidP="0074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821940"/>
      <w:docPartObj>
        <w:docPartGallery w:val="Page Numbers (Top of Page)"/>
        <w:docPartUnique/>
      </w:docPartObj>
    </w:sdtPr>
    <w:sdtEndPr/>
    <w:sdtContent>
      <w:p w14:paraId="3E09360B" w14:textId="77777777" w:rsidR="007415C6" w:rsidRDefault="007415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4B">
          <w:rPr>
            <w:noProof/>
          </w:rPr>
          <w:t>2</w:t>
        </w:r>
        <w:r>
          <w:fldChar w:fldCharType="end"/>
        </w:r>
      </w:p>
    </w:sdtContent>
  </w:sdt>
  <w:p w14:paraId="026B1838" w14:textId="77777777" w:rsidR="007415C6" w:rsidRDefault="007415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3BA"/>
    <w:multiLevelType w:val="multilevel"/>
    <w:tmpl w:val="573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83F91"/>
    <w:multiLevelType w:val="hybridMultilevel"/>
    <w:tmpl w:val="1FECFF74"/>
    <w:lvl w:ilvl="0" w:tplc="C8A28DE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0E547C"/>
    <w:multiLevelType w:val="hybridMultilevel"/>
    <w:tmpl w:val="A7AE4CF4"/>
    <w:lvl w:ilvl="0" w:tplc="C6CC2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346223"/>
    <w:multiLevelType w:val="multilevel"/>
    <w:tmpl w:val="37A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E4AEE"/>
    <w:multiLevelType w:val="hybridMultilevel"/>
    <w:tmpl w:val="ACDAC130"/>
    <w:lvl w:ilvl="0" w:tplc="C8A28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3BA8"/>
    <w:multiLevelType w:val="hybridMultilevel"/>
    <w:tmpl w:val="9238ED10"/>
    <w:lvl w:ilvl="0" w:tplc="0596A1EE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F00B5A"/>
    <w:multiLevelType w:val="multilevel"/>
    <w:tmpl w:val="39E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E0AD0"/>
    <w:multiLevelType w:val="multilevel"/>
    <w:tmpl w:val="16AE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1317F"/>
    <w:multiLevelType w:val="hybridMultilevel"/>
    <w:tmpl w:val="CA40898C"/>
    <w:lvl w:ilvl="0" w:tplc="94D66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A61A7"/>
    <w:multiLevelType w:val="hybridMultilevel"/>
    <w:tmpl w:val="3A9E3C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83905751">
    <w:abstractNumId w:val="6"/>
  </w:num>
  <w:num w:numId="2" w16cid:durableId="412053152">
    <w:abstractNumId w:val="7"/>
  </w:num>
  <w:num w:numId="3" w16cid:durableId="2038235940">
    <w:abstractNumId w:val="3"/>
  </w:num>
  <w:num w:numId="4" w16cid:durableId="944582318">
    <w:abstractNumId w:val="0"/>
  </w:num>
  <w:num w:numId="5" w16cid:durableId="459539069">
    <w:abstractNumId w:val="1"/>
  </w:num>
  <w:num w:numId="6" w16cid:durableId="1113479641">
    <w:abstractNumId w:val="2"/>
  </w:num>
  <w:num w:numId="7" w16cid:durableId="257099147">
    <w:abstractNumId w:val="8"/>
  </w:num>
  <w:num w:numId="8" w16cid:durableId="1297950024">
    <w:abstractNumId w:val="9"/>
  </w:num>
  <w:num w:numId="9" w16cid:durableId="1703558338">
    <w:abstractNumId w:val="4"/>
  </w:num>
  <w:num w:numId="10" w16cid:durableId="193012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DC8"/>
    <w:rsid w:val="001F0938"/>
    <w:rsid w:val="00211833"/>
    <w:rsid w:val="00344842"/>
    <w:rsid w:val="00356B1B"/>
    <w:rsid w:val="003D1CEE"/>
    <w:rsid w:val="0041102F"/>
    <w:rsid w:val="0054167B"/>
    <w:rsid w:val="006225D7"/>
    <w:rsid w:val="00622FFD"/>
    <w:rsid w:val="00685EA4"/>
    <w:rsid w:val="006D2AC3"/>
    <w:rsid w:val="00731D80"/>
    <w:rsid w:val="007415C6"/>
    <w:rsid w:val="007E4DBA"/>
    <w:rsid w:val="00810584"/>
    <w:rsid w:val="008B409C"/>
    <w:rsid w:val="008D7F31"/>
    <w:rsid w:val="00960DA2"/>
    <w:rsid w:val="009D6DA3"/>
    <w:rsid w:val="00B6794B"/>
    <w:rsid w:val="00BD2069"/>
    <w:rsid w:val="00C23B6A"/>
    <w:rsid w:val="00CD6B89"/>
    <w:rsid w:val="00F024A2"/>
    <w:rsid w:val="00F16DC8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2407"/>
  <w15:docId w15:val="{607CBED3-ABB9-B948-9919-205D14F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024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1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415C6"/>
  </w:style>
  <w:style w:type="paragraph" w:styleId="a7">
    <w:name w:val="footer"/>
    <w:basedOn w:val="a"/>
    <w:link w:val="a8"/>
    <w:uiPriority w:val="99"/>
    <w:unhideWhenUsed/>
    <w:rsid w:val="00741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15C6"/>
  </w:style>
  <w:style w:type="paragraph" w:styleId="a9">
    <w:name w:val="Balloon Text"/>
    <w:basedOn w:val="a"/>
    <w:link w:val="aa"/>
    <w:uiPriority w:val="99"/>
    <w:semiHidden/>
    <w:unhideWhenUsed/>
    <w:rsid w:val="0074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415C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D1CEE"/>
    <w:pPr>
      <w:spacing w:after="160" w:line="259" w:lineRule="auto"/>
      <w:ind w:left="720"/>
      <w:contextualSpacing/>
    </w:pPr>
  </w:style>
  <w:style w:type="paragraph" w:customStyle="1" w:styleId="rvps2">
    <w:name w:val="rvps2"/>
    <w:basedOn w:val="a"/>
    <w:rsid w:val="003D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26759/ed_2024_09_03/pravo1/T10_2755.html?pravo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12228/ed_2024_09_03/pravo1/T10_2755.html?pravo=1" TargetMode="External"/><Relationship Id="rId12" Type="http://schemas.openxmlformats.org/officeDocument/2006/relationships/hyperlink" Target="https://ips.ligazakon.net/document/RE34216?utm_source=buh.ligazakon.net&amp;utm_medium=news&amp;utm_content=cons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re39354?utm_source=buh.ligazakon.net&amp;utm_medium=news&amp;utm_content=cons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ps.ligazakon.net/document/RE34216?utm_source=buh.ligazakon.net&amp;utm_medium=news&amp;utm_content=cons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RE34216?utm_source=buh.ligazakon.net&amp;utm_medium=news&amp;utm_content=cons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5585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Якимчук</cp:lastModifiedBy>
  <cp:revision>2</cp:revision>
  <cp:lastPrinted>2025-02-12T08:38:00Z</cp:lastPrinted>
  <dcterms:created xsi:type="dcterms:W3CDTF">2025-02-12T11:25:00Z</dcterms:created>
  <dcterms:modified xsi:type="dcterms:W3CDTF">2025-02-12T11:25:00Z</dcterms:modified>
</cp:coreProperties>
</file>