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0B" w:rsidRDefault="00F7100B" w:rsidP="00F7100B">
      <w:pPr>
        <w:spacing w:after="0"/>
        <w:jc w:val="center"/>
        <w:rPr>
          <w:spacing w:val="-4"/>
        </w:rPr>
      </w:pPr>
      <w:r w:rsidRPr="00032F7A">
        <w:rPr>
          <w:spacing w:val="-4"/>
        </w:rPr>
        <w:t xml:space="preserve">До </w:t>
      </w:r>
      <w:proofErr w:type="spellStart"/>
      <w:r w:rsidRPr="00032F7A">
        <w:rPr>
          <w:spacing w:val="-4"/>
        </w:rPr>
        <w:t>уваги</w:t>
      </w:r>
      <w:proofErr w:type="spellEnd"/>
      <w:r w:rsidRPr="00032F7A">
        <w:rPr>
          <w:spacing w:val="-4"/>
        </w:rPr>
        <w:t xml:space="preserve"> </w:t>
      </w:r>
      <w:proofErr w:type="spellStart"/>
      <w:r>
        <w:rPr>
          <w:spacing w:val="-4"/>
        </w:rPr>
        <w:t>платників</w:t>
      </w:r>
      <w:proofErr w:type="spellEnd"/>
    </w:p>
    <w:p w:rsidR="00F7100B" w:rsidRDefault="00F7100B" w:rsidP="00F7100B">
      <w:pPr>
        <w:spacing w:after="0"/>
        <w:jc w:val="center"/>
        <w:rPr>
          <w:spacing w:val="-4"/>
        </w:rPr>
      </w:pPr>
      <w:proofErr w:type="spellStart"/>
      <w:r w:rsidRPr="00DD6C86">
        <w:rPr>
          <w:bCs/>
        </w:rPr>
        <w:t>податк</w:t>
      </w:r>
      <w:r>
        <w:rPr>
          <w:bCs/>
        </w:rPr>
        <w:t>у</w:t>
      </w:r>
      <w:proofErr w:type="spellEnd"/>
      <w:r w:rsidRPr="00DD6C86">
        <w:rPr>
          <w:bCs/>
        </w:rPr>
        <w:t xml:space="preserve"> на </w:t>
      </w:r>
      <w:proofErr w:type="spellStart"/>
      <w:r w:rsidRPr="00DD6C86">
        <w:rPr>
          <w:bCs/>
        </w:rPr>
        <w:t>нерухоме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майно</w:t>
      </w:r>
      <w:proofErr w:type="spellEnd"/>
      <w:r w:rsidRPr="00DD6C86">
        <w:rPr>
          <w:bCs/>
        </w:rPr>
        <w:t xml:space="preserve">, </w:t>
      </w:r>
      <w:proofErr w:type="spellStart"/>
      <w:r w:rsidRPr="00DD6C86">
        <w:rPr>
          <w:bCs/>
        </w:rPr>
        <w:t>відмінне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від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земельної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ділянки</w:t>
      </w:r>
      <w:proofErr w:type="spellEnd"/>
      <w:r>
        <w:rPr>
          <w:spacing w:val="-4"/>
        </w:rPr>
        <w:t>!</w:t>
      </w:r>
    </w:p>
    <w:p w:rsidR="00507D6B" w:rsidRDefault="00F7100B" w:rsidP="00F7100B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 w:val="uk-UA"/>
        </w:rPr>
      </w:pPr>
      <w:proofErr w:type="spellStart"/>
      <w:r>
        <w:rPr>
          <w:spacing w:val="-4"/>
        </w:rPr>
        <w:t>О</w:t>
      </w:r>
      <w:r w:rsidRPr="00DD6C86">
        <w:rPr>
          <w:bCs/>
        </w:rPr>
        <w:t>податкування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об’єкта</w:t>
      </w:r>
      <w:proofErr w:type="spellEnd"/>
      <w:r w:rsidRPr="00DD6C86">
        <w:rPr>
          <w:bCs/>
        </w:rPr>
        <w:t xml:space="preserve"> (</w:t>
      </w:r>
      <w:proofErr w:type="spellStart"/>
      <w:r w:rsidRPr="00DD6C86">
        <w:rPr>
          <w:bCs/>
        </w:rPr>
        <w:t>об’єктів</w:t>
      </w:r>
      <w:proofErr w:type="spellEnd"/>
      <w:r w:rsidRPr="00DD6C86">
        <w:rPr>
          <w:bCs/>
        </w:rPr>
        <w:t xml:space="preserve">) </w:t>
      </w:r>
      <w:proofErr w:type="spellStart"/>
      <w:r w:rsidRPr="00DD6C86">
        <w:rPr>
          <w:bCs/>
        </w:rPr>
        <w:t>житлової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нерухомості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загальна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площа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якого</w:t>
      </w:r>
      <w:proofErr w:type="spellEnd"/>
      <w:r w:rsidRPr="00DD6C86">
        <w:rPr>
          <w:bCs/>
        </w:rPr>
        <w:t xml:space="preserve"> </w:t>
      </w:r>
      <w:proofErr w:type="spellStart"/>
      <w:r w:rsidRPr="00DD6C86">
        <w:rPr>
          <w:bCs/>
        </w:rPr>
        <w:t>перевищує</w:t>
      </w:r>
      <w:proofErr w:type="spellEnd"/>
      <w:r w:rsidRPr="00DD6C86">
        <w:rPr>
          <w:bCs/>
        </w:rPr>
        <w:t xml:space="preserve"> 300 кв. м (для </w:t>
      </w:r>
      <w:proofErr w:type="spellStart"/>
      <w:r w:rsidRPr="00DD6C86">
        <w:rPr>
          <w:bCs/>
        </w:rPr>
        <w:t>квартири</w:t>
      </w:r>
      <w:proofErr w:type="spellEnd"/>
      <w:r w:rsidRPr="00DD6C86">
        <w:rPr>
          <w:bCs/>
        </w:rPr>
        <w:t>)</w:t>
      </w:r>
    </w:p>
    <w:p w:rsidR="00507D6B" w:rsidRDefault="00507D6B" w:rsidP="00437082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uk-UA"/>
        </w:rPr>
      </w:pPr>
    </w:p>
    <w:p w:rsidR="00F7100B" w:rsidRDefault="00F7100B" w:rsidP="00507D6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lang w:val="uk-UA"/>
        </w:rPr>
      </w:pPr>
    </w:p>
    <w:p w:rsidR="00507D6B" w:rsidRPr="00507D6B" w:rsidRDefault="00507D6B" w:rsidP="00507D6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lang w:val="uk-UA"/>
        </w:rPr>
      </w:pPr>
      <w:bookmarkStart w:id="0" w:name="_GoBack"/>
      <w:bookmarkEnd w:id="0"/>
      <w:r w:rsidRPr="00507D6B">
        <w:rPr>
          <w:szCs w:val="28"/>
          <w:lang w:val="uk-UA"/>
        </w:rPr>
        <w:t>Запитання:</w:t>
      </w:r>
    </w:p>
    <w:p w:rsidR="00507D6B" w:rsidRPr="00507D6B" w:rsidRDefault="00507D6B" w:rsidP="00507D6B">
      <w:pPr>
        <w:pStyle w:val="ab"/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  <w:r w:rsidRPr="00507D6B">
        <w:rPr>
          <w:rFonts w:ascii="Times New Roman" w:eastAsia="Times New Roman" w:hAnsi="Times New Roman"/>
          <w:bCs/>
          <w:spacing w:val="-1"/>
          <w:sz w:val="28"/>
          <w:szCs w:val="28"/>
          <w:lang w:val="uk-UA" w:eastAsia="ru-RU"/>
        </w:rPr>
        <w:t xml:space="preserve">Чи застосовується до юридичної особи, яка є власником 10 об’єктів житлової нерухомості (квартир), кожна з яких має площу 200 </w:t>
      </w:r>
      <w:proofErr w:type="spellStart"/>
      <w:r w:rsidRPr="00507D6B">
        <w:rPr>
          <w:rFonts w:ascii="Times New Roman" w:eastAsia="Times New Roman" w:hAnsi="Times New Roman"/>
          <w:bCs/>
          <w:spacing w:val="-1"/>
          <w:sz w:val="28"/>
          <w:szCs w:val="28"/>
          <w:lang w:val="uk-UA" w:eastAsia="ru-RU"/>
        </w:rPr>
        <w:t>кв</w:t>
      </w:r>
      <w:proofErr w:type="spellEnd"/>
      <w:r w:rsidRPr="00507D6B">
        <w:rPr>
          <w:rFonts w:ascii="Times New Roman" w:eastAsia="Times New Roman" w:hAnsi="Times New Roman"/>
          <w:bCs/>
          <w:spacing w:val="-1"/>
          <w:sz w:val="28"/>
          <w:szCs w:val="28"/>
          <w:lang w:val="uk-UA" w:eastAsia="ru-RU"/>
        </w:rPr>
        <w:t xml:space="preserve">. м, норма  підпункту </w:t>
      </w:r>
      <w:r w:rsidRPr="00507D6B">
        <w:rPr>
          <w:rFonts w:ascii="Times New Roman" w:hAnsi="Times New Roman"/>
          <w:sz w:val="28"/>
          <w:szCs w:val="28"/>
          <w:lang w:val="uk-UA"/>
        </w:rPr>
        <w:t>266.7.1</w:t>
      </w:r>
      <w:r w:rsidRPr="00507D6B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Pr="00507D6B">
        <w:rPr>
          <w:rFonts w:ascii="Times New Roman" w:eastAsia="Times New Roman" w:hAnsi="Times New Roman"/>
          <w:bCs/>
          <w:spacing w:val="-1"/>
          <w:sz w:val="28"/>
          <w:szCs w:val="28"/>
          <w:lang w:val="uk-UA" w:eastAsia="ru-RU"/>
        </w:rPr>
        <w:t xml:space="preserve">пункту </w:t>
      </w:r>
      <w:r w:rsidRPr="00507D6B">
        <w:rPr>
          <w:rFonts w:ascii="Times New Roman" w:hAnsi="Times New Roman"/>
          <w:sz w:val="28"/>
          <w:szCs w:val="28"/>
          <w:lang w:val="uk-UA"/>
        </w:rPr>
        <w:t xml:space="preserve">266.7 </w:t>
      </w:r>
      <w:r w:rsidRPr="00507D6B">
        <w:rPr>
          <w:rFonts w:ascii="Times New Roman" w:eastAsia="Times New Roman" w:hAnsi="Times New Roman"/>
          <w:bCs/>
          <w:spacing w:val="-1"/>
          <w:sz w:val="28"/>
          <w:szCs w:val="28"/>
          <w:lang w:val="uk-UA" w:eastAsia="ru-RU"/>
        </w:rPr>
        <w:t xml:space="preserve">статті 266  Податкового кодексу України. Якщо застосовується, то яким чином – один раз чи до кожного об’єкту житлової нерухомості ?  </w:t>
      </w:r>
    </w:p>
    <w:p w:rsidR="00507D6B" w:rsidRPr="00507D6B" w:rsidRDefault="00507D6B" w:rsidP="00507D6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lang w:val="uk-UA"/>
        </w:rPr>
      </w:pPr>
    </w:p>
    <w:p w:rsidR="00507D6B" w:rsidRPr="00507D6B" w:rsidRDefault="00507D6B" w:rsidP="00507D6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lang w:val="uk-UA"/>
        </w:rPr>
      </w:pPr>
      <w:r w:rsidRPr="00507D6B">
        <w:rPr>
          <w:szCs w:val="28"/>
          <w:lang w:val="uk-UA"/>
        </w:rPr>
        <w:t>Відповідь:</w:t>
      </w:r>
    </w:p>
    <w:p w:rsidR="00507D6B" w:rsidRPr="00507D6B" w:rsidRDefault="00507D6B" w:rsidP="00507D6B">
      <w:pPr>
        <w:spacing w:after="0"/>
        <w:ind w:firstLine="567"/>
        <w:jc w:val="both"/>
        <w:rPr>
          <w:bCs/>
          <w:spacing w:val="-1"/>
          <w:szCs w:val="28"/>
          <w:lang w:val="uk-UA"/>
        </w:rPr>
      </w:pPr>
      <w:r w:rsidRPr="00507D6B">
        <w:rPr>
          <w:bCs/>
          <w:spacing w:val="-1"/>
          <w:szCs w:val="28"/>
          <w:lang w:val="uk-UA"/>
        </w:rPr>
        <w:t xml:space="preserve">Порядок справляння податку на нерухоме майно, відмінне від земельної ділянки (далі – Податок) визначається статтею 266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>Податкового кодексу України (далі – ПКУ).</w:t>
      </w:r>
    </w:p>
    <w:p w:rsidR="00507D6B" w:rsidRPr="00507D6B" w:rsidRDefault="00507D6B" w:rsidP="00507D6B">
      <w:pPr>
        <w:spacing w:after="0"/>
        <w:ind w:firstLine="567"/>
        <w:jc w:val="both"/>
        <w:rPr>
          <w:szCs w:val="28"/>
          <w:lang w:val="uk-UA"/>
        </w:rPr>
      </w:pPr>
      <w:r w:rsidRPr="00507D6B">
        <w:rPr>
          <w:bCs/>
          <w:spacing w:val="-1"/>
          <w:szCs w:val="28"/>
          <w:lang w:val="uk-UA"/>
        </w:rPr>
        <w:t xml:space="preserve">Відповідно до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підпункту </w:t>
      </w:r>
      <w:r w:rsidRPr="00507D6B">
        <w:rPr>
          <w:szCs w:val="28"/>
          <w:lang w:val="uk-UA"/>
        </w:rPr>
        <w:t>266.7.1</w:t>
      </w:r>
      <w:r w:rsidRPr="00507D6B">
        <w:rPr>
          <w:szCs w:val="28"/>
          <w:vertAlign w:val="superscript"/>
          <w:lang w:val="uk-UA"/>
        </w:rPr>
        <w:t xml:space="preserve">1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пункту </w:t>
      </w:r>
      <w:r w:rsidRPr="00507D6B">
        <w:rPr>
          <w:szCs w:val="28"/>
          <w:lang w:val="uk-UA"/>
        </w:rPr>
        <w:t xml:space="preserve">266.7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>статті 266  ПКУ з</w:t>
      </w:r>
      <w:r w:rsidRPr="00507D6B">
        <w:rPr>
          <w:szCs w:val="28"/>
          <w:lang w:val="uk-UA"/>
        </w:rPr>
        <w:t xml:space="preserve">а наявності у власності платника Податку об’єкта (об’єктів) житлової нерухомості, у тому числі його частки, що перебуває у власності фізичної чи юридичної особи – платника податку, загальна площа якого перевищує 300 </w:t>
      </w:r>
      <w:proofErr w:type="spellStart"/>
      <w:r w:rsidRPr="00507D6B">
        <w:rPr>
          <w:szCs w:val="28"/>
          <w:lang w:val="uk-UA"/>
        </w:rPr>
        <w:t>кв</w:t>
      </w:r>
      <w:proofErr w:type="spellEnd"/>
      <w:r w:rsidRPr="00507D6B">
        <w:rPr>
          <w:szCs w:val="28"/>
          <w:lang w:val="uk-UA"/>
        </w:rPr>
        <w:t xml:space="preserve">. м (для квартири) та/або 500 </w:t>
      </w:r>
      <w:proofErr w:type="spellStart"/>
      <w:r w:rsidRPr="00507D6B">
        <w:rPr>
          <w:szCs w:val="28"/>
          <w:lang w:val="uk-UA"/>
        </w:rPr>
        <w:t>кв</w:t>
      </w:r>
      <w:proofErr w:type="spellEnd"/>
      <w:r w:rsidRPr="00507D6B">
        <w:rPr>
          <w:szCs w:val="28"/>
          <w:lang w:val="uk-UA"/>
        </w:rPr>
        <w:t>. м (для будинку), сума податку, розрахована відповідно до підпунктів «а» - «г» підпункту 266.7.1 цього пункту, збільшується на 25000</w:t>
      </w:r>
      <w:r>
        <w:rPr>
          <w:szCs w:val="28"/>
          <w:lang w:val="uk-UA"/>
        </w:rPr>
        <w:t> </w:t>
      </w:r>
      <w:r w:rsidRPr="00507D6B">
        <w:rPr>
          <w:szCs w:val="28"/>
          <w:lang w:val="uk-UA"/>
        </w:rPr>
        <w:t>гривень на рік за кожен такий об’єкт житлової нерухомості (його частку).</w:t>
      </w:r>
    </w:p>
    <w:p w:rsidR="00507D6B" w:rsidRPr="00507D6B" w:rsidRDefault="00507D6B" w:rsidP="00507D6B">
      <w:pPr>
        <w:spacing w:after="0"/>
        <w:ind w:firstLine="567"/>
        <w:jc w:val="both"/>
        <w:rPr>
          <w:szCs w:val="28"/>
          <w:lang w:val="uk-UA"/>
        </w:rPr>
      </w:pPr>
      <w:r w:rsidRPr="00507D6B">
        <w:rPr>
          <w:szCs w:val="28"/>
          <w:lang w:val="uk-UA"/>
        </w:rPr>
        <w:t xml:space="preserve">Зазначена норма ПКУ передбачає збільшення на 25000 гривень податкового зобов’язання з Податку у разі наявності у юридичної особи – платника Податку житлової нерухомості (квартири), загальна площа якої перевищує 300 </w:t>
      </w:r>
      <w:proofErr w:type="spellStart"/>
      <w:r w:rsidRPr="00507D6B">
        <w:rPr>
          <w:szCs w:val="28"/>
          <w:lang w:val="uk-UA"/>
        </w:rPr>
        <w:t>кв</w:t>
      </w:r>
      <w:proofErr w:type="spellEnd"/>
      <w:r w:rsidRPr="00507D6B">
        <w:rPr>
          <w:szCs w:val="28"/>
          <w:lang w:val="uk-UA"/>
        </w:rPr>
        <w:t xml:space="preserve">. метрів. </w:t>
      </w:r>
    </w:p>
    <w:p w:rsidR="00507D6B" w:rsidRPr="00507D6B" w:rsidRDefault="00507D6B" w:rsidP="00507D6B">
      <w:pPr>
        <w:spacing w:after="0"/>
        <w:ind w:firstLine="567"/>
        <w:jc w:val="both"/>
        <w:rPr>
          <w:rFonts w:eastAsia="Times New Roman"/>
          <w:bCs/>
          <w:spacing w:val="-1"/>
          <w:szCs w:val="28"/>
          <w:lang w:val="uk-UA" w:eastAsia="ru-RU"/>
        </w:rPr>
      </w:pPr>
      <w:r w:rsidRPr="00507D6B">
        <w:rPr>
          <w:szCs w:val="28"/>
          <w:lang w:val="uk-UA"/>
        </w:rPr>
        <w:t xml:space="preserve">За наявності у юридичної особи кількох об’єктів житлової нерухомості (квартир), норма 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підпункту </w:t>
      </w:r>
      <w:r w:rsidRPr="00507D6B">
        <w:rPr>
          <w:szCs w:val="28"/>
          <w:lang w:val="uk-UA"/>
        </w:rPr>
        <w:t>266.7.1</w:t>
      </w:r>
      <w:r w:rsidRPr="00507D6B">
        <w:rPr>
          <w:szCs w:val="28"/>
          <w:vertAlign w:val="superscript"/>
          <w:lang w:val="uk-UA"/>
        </w:rPr>
        <w:t xml:space="preserve">1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пункту </w:t>
      </w:r>
      <w:r w:rsidRPr="00507D6B">
        <w:rPr>
          <w:szCs w:val="28"/>
          <w:lang w:val="uk-UA"/>
        </w:rPr>
        <w:t xml:space="preserve">266.7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статті 266  ПКУ застосовується тільки до того об’єкта (квартири), загальна площа якого </w:t>
      </w:r>
      <w:r w:rsidRPr="00507D6B">
        <w:rPr>
          <w:szCs w:val="28"/>
          <w:lang w:val="uk-UA"/>
        </w:rPr>
        <w:t>перевищує 300</w:t>
      </w:r>
      <w:r>
        <w:rPr>
          <w:szCs w:val="28"/>
          <w:lang w:val="uk-UA"/>
        </w:rPr>
        <w:t> </w:t>
      </w:r>
      <w:proofErr w:type="spellStart"/>
      <w:r w:rsidRPr="00507D6B">
        <w:rPr>
          <w:szCs w:val="28"/>
          <w:lang w:val="uk-UA"/>
        </w:rPr>
        <w:t>кв</w:t>
      </w:r>
      <w:proofErr w:type="spellEnd"/>
      <w:r w:rsidRPr="00507D6B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507D6B">
        <w:rPr>
          <w:szCs w:val="28"/>
          <w:lang w:val="uk-UA"/>
        </w:rPr>
        <w:t xml:space="preserve">метрів, до інших об’єктів житлової нерухомості (квартир), загальна площа яких (кожного окремо) не перевищує 300 </w:t>
      </w:r>
      <w:proofErr w:type="spellStart"/>
      <w:r w:rsidRPr="00507D6B">
        <w:rPr>
          <w:szCs w:val="28"/>
          <w:lang w:val="uk-UA"/>
        </w:rPr>
        <w:t>кв</w:t>
      </w:r>
      <w:proofErr w:type="spellEnd"/>
      <w:r w:rsidRPr="00507D6B">
        <w:rPr>
          <w:szCs w:val="28"/>
          <w:lang w:val="uk-UA"/>
        </w:rPr>
        <w:t xml:space="preserve">. метрів, норма 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підпункту </w:t>
      </w:r>
      <w:r w:rsidRPr="00507D6B">
        <w:rPr>
          <w:szCs w:val="28"/>
          <w:lang w:val="uk-UA"/>
        </w:rPr>
        <w:t>266.7.1</w:t>
      </w:r>
      <w:r w:rsidRPr="00507D6B">
        <w:rPr>
          <w:szCs w:val="28"/>
          <w:vertAlign w:val="superscript"/>
          <w:lang w:val="uk-UA"/>
        </w:rPr>
        <w:t xml:space="preserve">1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пункту </w:t>
      </w:r>
      <w:r w:rsidRPr="00507D6B">
        <w:rPr>
          <w:szCs w:val="28"/>
          <w:lang w:val="uk-UA"/>
        </w:rPr>
        <w:t xml:space="preserve">266.7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>статті 266  ПКУ не застосовується.</w:t>
      </w:r>
    </w:p>
    <w:p w:rsidR="00507D6B" w:rsidRPr="00507D6B" w:rsidRDefault="00507D6B" w:rsidP="00507D6B">
      <w:pPr>
        <w:spacing w:after="0"/>
        <w:ind w:firstLine="567"/>
        <w:jc w:val="both"/>
        <w:rPr>
          <w:rFonts w:eastAsia="Times New Roman"/>
          <w:bCs/>
          <w:spacing w:val="-1"/>
          <w:szCs w:val="28"/>
          <w:lang w:val="uk-UA" w:eastAsia="ru-RU"/>
        </w:rPr>
      </w:pP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Це стосується до випадків володіння часткою об’єкта житлової нерухомості (квартири), якщо площа цієї частки </w:t>
      </w:r>
      <w:r w:rsidRPr="00507D6B">
        <w:rPr>
          <w:szCs w:val="28"/>
          <w:lang w:val="uk-UA"/>
        </w:rPr>
        <w:t xml:space="preserve">перевищує 300 </w:t>
      </w:r>
      <w:proofErr w:type="spellStart"/>
      <w:r w:rsidRPr="00507D6B">
        <w:rPr>
          <w:szCs w:val="28"/>
          <w:lang w:val="uk-UA"/>
        </w:rPr>
        <w:t>кв</w:t>
      </w:r>
      <w:proofErr w:type="spellEnd"/>
      <w:r w:rsidRPr="00507D6B">
        <w:rPr>
          <w:szCs w:val="28"/>
          <w:lang w:val="uk-UA"/>
        </w:rPr>
        <w:t>. метрів.</w:t>
      </w:r>
    </w:p>
    <w:p w:rsidR="00507D6B" w:rsidRPr="00507D6B" w:rsidRDefault="00507D6B" w:rsidP="00507D6B">
      <w:pPr>
        <w:spacing w:after="0"/>
        <w:ind w:firstLine="567"/>
        <w:jc w:val="both"/>
        <w:rPr>
          <w:szCs w:val="28"/>
          <w:lang w:val="uk-UA"/>
        </w:rPr>
      </w:pPr>
      <w:r w:rsidRPr="00507D6B">
        <w:rPr>
          <w:szCs w:val="28"/>
          <w:lang w:val="uk-UA"/>
        </w:rPr>
        <w:t xml:space="preserve">Оскільки 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підпункт </w:t>
      </w:r>
      <w:r w:rsidRPr="00507D6B">
        <w:rPr>
          <w:szCs w:val="28"/>
          <w:lang w:val="uk-UA"/>
        </w:rPr>
        <w:t>266.7.1</w:t>
      </w:r>
      <w:r w:rsidRPr="00507D6B">
        <w:rPr>
          <w:szCs w:val="28"/>
          <w:vertAlign w:val="superscript"/>
          <w:lang w:val="uk-UA"/>
        </w:rPr>
        <w:t xml:space="preserve">1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пункту </w:t>
      </w:r>
      <w:r w:rsidRPr="00507D6B">
        <w:rPr>
          <w:szCs w:val="28"/>
          <w:lang w:val="uk-UA"/>
        </w:rPr>
        <w:t xml:space="preserve">266.7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 xml:space="preserve">статті 266  ПКУ визначає збільшення суми Податку за кожен об’єкт житлової нерухомості (квартири), </w:t>
      </w:r>
      <w:r w:rsidRPr="00507D6B">
        <w:rPr>
          <w:szCs w:val="28"/>
          <w:lang w:val="uk-UA"/>
        </w:rPr>
        <w:t xml:space="preserve">загальна площа якого перевищує 300 </w:t>
      </w:r>
      <w:proofErr w:type="spellStart"/>
      <w:r w:rsidRPr="00507D6B">
        <w:rPr>
          <w:szCs w:val="28"/>
          <w:lang w:val="uk-UA"/>
        </w:rPr>
        <w:t>кв</w:t>
      </w:r>
      <w:proofErr w:type="spellEnd"/>
      <w:r w:rsidRPr="00507D6B">
        <w:rPr>
          <w:szCs w:val="28"/>
          <w:lang w:val="uk-UA"/>
        </w:rPr>
        <w:t xml:space="preserve">. м, то застосування вказаної норми ПКУ </w:t>
      </w:r>
      <w:r w:rsidRPr="00507D6B">
        <w:rPr>
          <w:rFonts w:eastAsia="Times New Roman"/>
          <w:bCs/>
          <w:spacing w:val="-1"/>
          <w:szCs w:val="28"/>
          <w:lang w:val="uk-UA" w:eastAsia="ru-RU"/>
        </w:rPr>
        <w:t>не передбачає сумування площ всіх об’єктів житлової нерухомості (квартир), які знаходяться у власності платника Податку.</w:t>
      </w:r>
      <w:r w:rsidRPr="00507D6B">
        <w:rPr>
          <w:szCs w:val="28"/>
          <w:lang w:val="uk-UA"/>
        </w:rPr>
        <w:t xml:space="preserve"> </w:t>
      </w:r>
    </w:p>
    <w:p w:rsidR="00507D6B" w:rsidRPr="00507D6B" w:rsidRDefault="00507D6B" w:rsidP="00437082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uk-UA"/>
        </w:rPr>
      </w:pPr>
    </w:p>
    <w:p w:rsidR="00507D6B" w:rsidRPr="00507D6B" w:rsidRDefault="00507D6B" w:rsidP="00437082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uk-UA"/>
        </w:rPr>
      </w:pPr>
    </w:p>
    <w:p w:rsidR="00507D6B" w:rsidRPr="00507D6B" w:rsidRDefault="00507D6B" w:rsidP="00437082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uk-UA"/>
        </w:rPr>
      </w:pPr>
    </w:p>
    <w:p w:rsidR="00507D6B" w:rsidRPr="00507D6B" w:rsidRDefault="00507D6B" w:rsidP="00437082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uk-UA"/>
        </w:rPr>
      </w:pPr>
    </w:p>
    <w:p w:rsidR="00507D6B" w:rsidRPr="00507D6B" w:rsidRDefault="00507D6B" w:rsidP="00437082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uk-UA"/>
        </w:rPr>
      </w:pPr>
    </w:p>
    <w:p w:rsidR="00507D6B" w:rsidRPr="00507D6B" w:rsidRDefault="00507D6B" w:rsidP="00437082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val="uk-UA"/>
        </w:rPr>
      </w:pPr>
    </w:p>
    <w:sectPr w:rsidR="00507D6B" w:rsidRPr="00507D6B" w:rsidSect="00730FF7">
      <w:headerReference w:type="default" r:id="rId7"/>
      <w:pgSz w:w="11906" w:h="16838" w:code="9"/>
      <w:pgMar w:top="851" w:right="566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58" w:rsidRDefault="003F0B58" w:rsidP="00730FF7">
      <w:pPr>
        <w:spacing w:after="0"/>
      </w:pPr>
      <w:r>
        <w:separator/>
      </w:r>
    </w:p>
  </w:endnote>
  <w:endnote w:type="continuationSeparator" w:id="0">
    <w:p w:rsidR="003F0B58" w:rsidRDefault="003F0B58" w:rsidP="00730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58" w:rsidRDefault="003F0B58" w:rsidP="00730FF7">
      <w:pPr>
        <w:spacing w:after="0"/>
      </w:pPr>
      <w:r>
        <w:separator/>
      </w:r>
    </w:p>
  </w:footnote>
  <w:footnote w:type="continuationSeparator" w:id="0">
    <w:p w:rsidR="003F0B58" w:rsidRDefault="003F0B58" w:rsidP="00730F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091595"/>
      <w:docPartObj>
        <w:docPartGallery w:val="Page Numbers (Top of Page)"/>
        <w:docPartUnique/>
      </w:docPartObj>
    </w:sdtPr>
    <w:sdtEndPr/>
    <w:sdtContent>
      <w:p w:rsidR="00730FF7" w:rsidRDefault="00730F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0B">
          <w:rPr>
            <w:noProof/>
          </w:rPr>
          <w:t>2</w:t>
        </w:r>
        <w:r>
          <w:fldChar w:fldCharType="end"/>
        </w:r>
      </w:p>
    </w:sdtContent>
  </w:sdt>
  <w:p w:rsidR="00730FF7" w:rsidRDefault="00730F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6162"/>
    <w:multiLevelType w:val="hybridMultilevel"/>
    <w:tmpl w:val="1E2E17B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6E25"/>
    <w:multiLevelType w:val="hybridMultilevel"/>
    <w:tmpl w:val="09DE0168"/>
    <w:lvl w:ilvl="0" w:tplc="AC745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471F05"/>
    <w:multiLevelType w:val="hybridMultilevel"/>
    <w:tmpl w:val="8BC46E3C"/>
    <w:lvl w:ilvl="0" w:tplc="5CE8A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7F4B21"/>
    <w:multiLevelType w:val="hybridMultilevel"/>
    <w:tmpl w:val="1E00464C"/>
    <w:lvl w:ilvl="0" w:tplc="F752C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372BB2"/>
    <w:multiLevelType w:val="multilevel"/>
    <w:tmpl w:val="D3527D2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  <w:strike w:val="0"/>
        <w:color w:val="auto"/>
      </w:rPr>
    </w:lvl>
    <w:lvl w:ilvl="1">
      <w:start w:val="1"/>
      <w:numFmt w:val="decimal"/>
      <w:pStyle w:val="2"/>
      <w:lvlText w:val="%1.%2"/>
      <w:lvlJc w:val="left"/>
      <w:pPr>
        <w:ind w:left="5537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4650CCD"/>
    <w:multiLevelType w:val="hybridMultilevel"/>
    <w:tmpl w:val="DE1A3BCC"/>
    <w:lvl w:ilvl="0" w:tplc="21285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40"/>
    <w:rsid w:val="00036E0D"/>
    <w:rsid w:val="000643A9"/>
    <w:rsid w:val="00072E74"/>
    <w:rsid w:val="000753C8"/>
    <w:rsid w:val="0008528E"/>
    <w:rsid w:val="000920EC"/>
    <w:rsid w:val="00094572"/>
    <w:rsid w:val="00094896"/>
    <w:rsid w:val="000B72B7"/>
    <w:rsid w:val="000B777F"/>
    <w:rsid w:val="000C432A"/>
    <w:rsid w:val="000D7B7D"/>
    <w:rsid w:val="000E207C"/>
    <w:rsid w:val="00106F61"/>
    <w:rsid w:val="00136AC9"/>
    <w:rsid w:val="001419F5"/>
    <w:rsid w:val="00194679"/>
    <w:rsid w:val="001D58F6"/>
    <w:rsid w:val="001E520D"/>
    <w:rsid w:val="001E5AA7"/>
    <w:rsid w:val="001E7012"/>
    <w:rsid w:val="002101B3"/>
    <w:rsid w:val="00284500"/>
    <w:rsid w:val="002A298A"/>
    <w:rsid w:val="002B25AC"/>
    <w:rsid w:val="002F3A4E"/>
    <w:rsid w:val="002F7796"/>
    <w:rsid w:val="00304A8A"/>
    <w:rsid w:val="003155DF"/>
    <w:rsid w:val="00356678"/>
    <w:rsid w:val="00382240"/>
    <w:rsid w:val="0038657F"/>
    <w:rsid w:val="003F0B58"/>
    <w:rsid w:val="00400A2C"/>
    <w:rsid w:val="00402A77"/>
    <w:rsid w:val="00404C17"/>
    <w:rsid w:val="00421F47"/>
    <w:rsid w:val="004253E4"/>
    <w:rsid w:val="00431B3D"/>
    <w:rsid w:val="00434318"/>
    <w:rsid w:val="00437082"/>
    <w:rsid w:val="00442E3E"/>
    <w:rsid w:val="004441AF"/>
    <w:rsid w:val="004966F6"/>
    <w:rsid w:val="004A0176"/>
    <w:rsid w:val="004C3B59"/>
    <w:rsid w:val="004C3BB4"/>
    <w:rsid w:val="004F1400"/>
    <w:rsid w:val="00503841"/>
    <w:rsid w:val="00507D6B"/>
    <w:rsid w:val="00512BDA"/>
    <w:rsid w:val="0051679D"/>
    <w:rsid w:val="005461CA"/>
    <w:rsid w:val="00565CB6"/>
    <w:rsid w:val="005771D6"/>
    <w:rsid w:val="00585534"/>
    <w:rsid w:val="00593C93"/>
    <w:rsid w:val="005A3172"/>
    <w:rsid w:val="005A56B1"/>
    <w:rsid w:val="005D15E9"/>
    <w:rsid w:val="005D72E1"/>
    <w:rsid w:val="00603386"/>
    <w:rsid w:val="00626E48"/>
    <w:rsid w:val="0069577C"/>
    <w:rsid w:val="006A0CF4"/>
    <w:rsid w:val="006B788E"/>
    <w:rsid w:val="006C0B77"/>
    <w:rsid w:val="006C18E8"/>
    <w:rsid w:val="006D19D5"/>
    <w:rsid w:val="006D6A2D"/>
    <w:rsid w:val="006D6E7D"/>
    <w:rsid w:val="006E5584"/>
    <w:rsid w:val="00700739"/>
    <w:rsid w:val="00707ACF"/>
    <w:rsid w:val="0072116A"/>
    <w:rsid w:val="00730BA2"/>
    <w:rsid w:val="00730FF7"/>
    <w:rsid w:val="00765628"/>
    <w:rsid w:val="007658BE"/>
    <w:rsid w:val="007C347E"/>
    <w:rsid w:val="007F5CE4"/>
    <w:rsid w:val="00800F76"/>
    <w:rsid w:val="008242FF"/>
    <w:rsid w:val="00860C1C"/>
    <w:rsid w:val="00870751"/>
    <w:rsid w:val="00882C9F"/>
    <w:rsid w:val="008A0C7B"/>
    <w:rsid w:val="008B0C77"/>
    <w:rsid w:val="008B3E48"/>
    <w:rsid w:val="008E304F"/>
    <w:rsid w:val="00922C48"/>
    <w:rsid w:val="00953A52"/>
    <w:rsid w:val="00972DFE"/>
    <w:rsid w:val="00975142"/>
    <w:rsid w:val="00980D16"/>
    <w:rsid w:val="00986E3C"/>
    <w:rsid w:val="00A05B5F"/>
    <w:rsid w:val="00A23084"/>
    <w:rsid w:val="00A33380"/>
    <w:rsid w:val="00A832AE"/>
    <w:rsid w:val="00AA1979"/>
    <w:rsid w:val="00AB4B75"/>
    <w:rsid w:val="00AB512E"/>
    <w:rsid w:val="00AE33A9"/>
    <w:rsid w:val="00B34E3B"/>
    <w:rsid w:val="00B47871"/>
    <w:rsid w:val="00B725FD"/>
    <w:rsid w:val="00B85FB9"/>
    <w:rsid w:val="00B87340"/>
    <w:rsid w:val="00B915B7"/>
    <w:rsid w:val="00BA5011"/>
    <w:rsid w:val="00BF4253"/>
    <w:rsid w:val="00BF6441"/>
    <w:rsid w:val="00C0456D"/>
    <w:rsid w:val="00C30B75"/>
    <w:rsid w:val="00C61771"/>
    <w:rsid w:val="00CA72BC"/>
    <w:rsid w:val="00CB7979"/>
    <w:rsid w:val="00CC55D7"/>
    <w:rsid w:val="00CC6D5C"/>
    <w:rsid w:val="00CD697C"/>
    <w:rsid w:val="00D13566"/>
    <w:rsid w:val="00D31671"/>
    <w:rsid w:val="00D97669"/>
    <w:rsid w:val="00DA7941"/>
    <w:rsid w:val="00DB2960"/>
    <w:rsid w:val="00DC7939"/>
    <w:rsid w:val="00DD6C86"/>
    <w:rsid w:val="00E30CD0"/>
    <w:rsid w:val="00E612E5"/>
    <w:rsid w:val="00E94AAC"/>
    <w:rsid w:val="00EA443E"/>
    <w:rsid w:val="00EA59DF"/>
    <w:rsid w:val="00EC136D"/>
    <w:rsid w:val="00EC728A"/>
    <w:rsid w:val="00ED29B7"/>
    <w:rsid w:val="00ED3DD0"/>
    <w:rsid w:val="00EE4070"/>
    <w:rsid w:val="00F06C6F"/>
    <w:rsid w:val="00F12C76"/>
    <w:rsid w:val="00F31519"/>
    <w:rsid w:val="00F42C2D"/>
    <w:rsid w:val="00F7100B"/>
    <w:rsid w:val="00FA4393"/>
    <w:rsid w:val="00FA70DB"/>
    <w:rsid w:val="00FC2E5A"/>
    <w:rsid w:val="00FC74D7"/>
    <w:rsid w:val="00FD74E0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6341"/>
  <w15:docId w15:val="{3B6368BB-0489-4DCF-8870-D9BC6430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02A77"/>
    <w:pPr>
      <w:keepNext/>
      <w:keepLines/>
      <w:numPr>
        <w:numId w:val="1"/>
      </w:numPr>
      <w:spacing w:before="360" w:after="240" w:line="276" w:lineRule="auto"/>
      <w:jc w:val="both"/>
      <w:outlineLvl w:val="0"/>
    </w:pPr>
    <w:rPr>
      <w:rFonts w:eastAsia="Times New Roman" w:cs="Times New Roman"/>
      <w:sz w:val="36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02A77"/>
    <w:pPr>
      <w:keepNext/>
      <w:keepLines/>
      <w:numPr>
        <w:ilvl w:val="1"/>
        <w:numId w:val="1"/>
      </w:numPr>
      <w:spacing w:before="160" w:after="120" w:line="360" w:lineRule="auto"/>
      <w:ind w:left="576"/>
      <w:jc w:val="both"/>
      <w:outlineLvl w:val="1"/>
    </w:pPr>
    <w:rPr>
      <w:rFonts w:eastAsia="Times New Roman" w:cs="Times New Roman"/>
      <w:sz w:val="32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02A77"/>
    <w:pPr>
      <w:keepNext/>
      <w:keepLines/>
      <w:numPr>
        <w:ilvl w:val="2"/>
        <w:numId w:val="1"/>
      </w:numPr>
      <w:spacing w:before="240" w:after="240"/>
      <w:jc w:val="both"/>
      <w:outlineLvl w:val="2"/>
    </w:pPr>
    <w:rPr>
      <w:rFonts w:eastAsia="Times New Roman" w:cs="Times New Roman"/>
      <w:color w:val="000000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02A77"/>
    <w:pPr>
      <w:keepNext/>
      <w:keepLines/>
      <w:numPr>
        <w:ilvl w:val="3"/>
        <w:numId w:val="1"/>
      </w:numPr>
      <w:spacing w:before="160" w:after="120"/>
      <w:jc w:val="both"/>
      <w:outlineLvl w:val="3"/>
    </w:pPr>
    <w:rPr>
      <w:rFonts w:eastAsia="Times New Roman" w:cs="Times New Roman"/>
      <w:iCs/>
      <w:sz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77"/>
    <w:pPr>
      <w:keepNext/>
      <w:keepLines/>
      <w:numPr>
        <w:ilvl w:val="4"/>
        <w:numId w:val="1"/>
      </w:numPr>
      <w:spacing w:before="40" w:after="0" w:line="276" w:lineRule="auto"/>
      <w:jc w:val="both"/>
      <w:outlineLvl w:val="4"/>
    </w:pPr>
    <w:rPr>
      <w:rFonts w:ascii="Calibri Light" w:eastAsia="Times New Roman" w:hAnsi="Calibri Light" w:cs="Times New Roman"/>
      <w:color w:val="2F5496"/>
      <w:sz w:val="24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77"/>
    <w:pPr>
      <w:keepNext/>
      <w:keepLines/>
      <w:numPr>
        <w:ilvl w:val="5"/>
        <w:numId w:val="1"/>
      </w:numPr>
      <w:spacing w:before="40" w:after="0" w:line="276" w:lineRule="auto"/>
      <w:jc w:val="both"/>
      <w:outlineLvl w:val="5"/>
    </w:pPr>
    <w:rPr>
      <w:rFonts w:ascii="Calibri Light" w:eastAsia="Times New Roman" w:hAnsi="Calibri Light" w:cs="Times New Roman"/>
      <w:color w:val="1F3763"/>
      <w:sz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77"/>
    <w:pPr>
      <w:keepNext/>
      <w:keepLines/>
      <w:numPr>
        <w:ilvl w:val="6"/>
        <w:numId w:val="1"/>
      </w:numPr>
      <w:spacing w:before="40" w:after="0" w:line="276" w:lineRule="auto"/>
      <w:jc w:val="both"/>
      <w:outlineLvl w:val="6"/>
    </w:pPr>
    <w:rPr>
      <w:rFonts w:ascii="Calibri Light" w:eastAsia="Times New Roman" w:hAnsi="Calibri Light" w:cs="Times New Roman"/>
      <w:i/>
      <w:iCs/>
      <w:color w:val="1F3763"/>
      <w:sz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77"/>
    <w:pPr>
      <w:keepNext/>
      <w:keepLines/>
      <w:numPr>
        <w:ilvl w:val="7"/>
        <w:numId w:val="1"/>
      </w:numPr>
      <w:spacing w:before="40" w:after="0" w:line="276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77"/>
    <w:pPr>
      <w:keepNext/>
      <w:keepLines/>
      <w:numPr>
        <w:ilvl w:val="8"/>
        <w:numId w:val="1"/>
      </w:numPr>
      <w:spacing w:before="40" w:after="0" w:line="276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A77"/>
    <w:rPr>
      <w:rFonts w:ascii="Times New Roman" w:eastAsia="Times New Roman" w:hAnsi="Times New Roman" w:cs="Times New Roman"/>
      <w:sz w:val="36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02A77"/>
    <w:rPr>
      <w:rFonts w:ascii="Times New Roman" w:eastAsia="Times New Roman" w:hAnsi="Times New Roman" w:cs="Times New Roman"/>
      <w:sz w:val="32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02A77"/>
    <w:rPr>
      <w:rFonts w:ascii="Times New Roman" w:eastAsia="Times New Roman" w:hAnsi="Times New Roman" w:cs="Times New Roman"/>
      <w:color w:val="000000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02A77"/>
    <w:rPr>
      <w:rFonts w:ascii="Times New Roman" w:eastAsia="Times New Roman" w:hAnsi="Times New Roman" w:cs="Times New Roman"/>
      <w:iCs/>
      <w:sz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02A77"/>
    <w:rPr>
      <w:rFonts w:ascii="Calibri Light" w:eastAsia="Times New Roman" w:hAnsi="Calibri Light" w:cs="Times New Roman"/>
      <w:color w:val="2F5496"/>
      <w:sz w:val="24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02A77"/>
    <w:rPr>
      <w:rFonts w:ascii="Calibri Light" w:eastAsia="Times New Roman" w:hAnsi="Calibri Light" w:cs="Times New Roman"/>
      <w:color w:val="1F3763"/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02A77"/>
    <w:rPr>
      <w:rFonts w:ascii="Calibri Light" w:eastAsia="Times New Roman" w:hAnsi="Calibri Light" w:cs="Times New Roman"/>
      <w:i/>
      <w:iCs/>
      <w:color w:val="1F3763"/>
      <w:sz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02A77"/>
    <w:rPr>
      <w:rFonts w:ascii="Calibri Light" w:eastAsia="Times New Roman" w:hAnsi="Calibri Light" w:cs="Times New Roman"/>
      <w:color w:val="272727"/>
      <w:sz w:val="21"/>
      <w:szCs w:val="21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02A77"/>
    <w:rPr>
      <w:rFonts w:ascii="Calibri Light" w:eastAsia="Times New Roman" w:hAnsi="Calibri Light" w:cs="Times New Roman"/>
      <w:i/>
      <w:iCs/>
      <w:color w:val="272727"/>
      <w:sz w:val="21"/>
      <w:szCs w:val="21"/>
      <w:lang w:val="uk-UA"/>
    </w:rPr>
  </w:style>
  <w:style w:type="paragraph" w:styleId="a3">
    <w:name w:val="List Paragraph"/>
    <w:basedOn w:val="a"/>
    <w:uiPriority w:val="34"/>
    <w:qFormat/>
    <w:rsid w:val="00FD74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0F76"/>
    <w:pPr>
      <w:spacing w:before="100" w:beforeAutospacing="1" w:after="100" w:afterAutospacing="1"/>
    </w:pPr>
    <w:rPr>
      <w:rFonts w:eastAsiaTheme="minorEastAsia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12BD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2B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0FF7"/>
    <w:pPr>
      <w:tabs>
        <w:tab w:val="center" w:pos="4819"/>
        <w:tab w:val="right" w:pos="9639"/>
      </w:tabs>
      <w:spacing w:after="0"/>
    </w:pPr>
  </w:style>
  <w:style w:type="character" w:customStyle="1" w:styleId="a8">
    <w:name w:val="Верхній колонтитул Знак"/>
    <w:basedOn w:val="a0"/>
    <w:link w:val="a7"/>
    <w:uiPriority w:val="99"/>
    <w:rsid w:val="00730FF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30FF7"/>
    <w:pPr>
      <w:tabs>
        <w:tab w:val="center" w:pos="4819"/>
        <w:tab w:val="right" w:pos="9639"/>
      </w:tabs>
      <w:spacing w:after="0"/>
    </w:pPr>
  </w:style>
  <w:style w:type="character" w:customStyle="1" w:styleId="aa">
    <w:name w:val="Нижній колонтитул Знак"/>
    <w:basedOn w:val="a0"/>
    <w:link w:val="a9"/>
    <w:uiPriority w:val="99"/>
    <w:rsid w:val="00730FF7"/>
    <w:rPr>
      <w:rFonts w:ascii="Times New Roman" w:hAnsi="Times New Roman"/>
      <w:sz w:val="28"/>
    </w:rPr>
  </w:style>
  <w:style w:type="paragraph" w:customStyle="1" w:styleId="StyleZakonu">
    <w:name w:val="StyleZakonu"/>
    <w:basedOn w:val="a"/>
    <w:link w:val="StyleZakonu0"/>
    <w:rsid w:val="006E5584"/>
    <w:pPr>
      <w:spacing w:after="60" w:line="220" w:lineRule="exact"/>
      <w:ind w:firstLine="284"/>
      <w:jc w:val="both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StyleZakonu0">
    <w:name w:val="StyleZakonu Знак"/>
    <w:link w:val="StyleZakonu"/>
    <w:locked/>
    <w:rsid w:val="006E558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b">
    <w:name w:val="Без интервала"/>
    <w:link w:val="ac"/>
    <w:qFormat/>
    <w:rsid w:val="00507D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507D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</dc:creator>
  <cp:lastModifiedBy>ПОПОВА ВІКТОРІЯ ВІКТОРІВНА</cp:lastModifiedBy>
  <cp:revision>3</cp:revision>
  <cp:lastPrinted>2024-11-08T09:39:00Z</cp:lastPrinted>
  <dcterms:created xsi:type="dcterms:W3CDTF">2025-01-08T08:42:00Z</dcterms:created>
  <dcterms:modified xsi:type="dcterms:W3CDTF">2025-01-08T08:43:00Z</dcterms:modified>
</cp:coreProperties>
</file>