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6ABE" w14:textId="77777777" w:rsidR="001E72D1" w:rsidRPr="007C3BA4" w:rsidRDefault="001E72D1" w:rsidP="001E72D1">
      <w:pPr>
        <w:jc w:val="both"/>
        <w:rPr>
          <w:rFonts w:ascii="Times New Roman" w:hAnsi="Times New Roman" w:cs="Times New Roman"/>
          <w:b/>
          <w:sz w:val="28"/>
          <w:szCs w:val="28"/>
        </w:rPr>
      </w:pPr>
      <w:bookmarkStart w:id="0" w:name="_GoBack"/>
      <w:r w:rsidRPr="007C3BA4">
        <w:rPr>
          <w:rFonts w:ascii="Times New Roman" w:hAnsi="Times New Roman" w:cs="Times New Roman"/>
          <w:b/>
          <w:sz w:val="28"/>
          <w:szCs w:val="28"/>
        </w:rPr>
        <w:t>Зміна розміру штрафів за порушення трудового законодавства</w:t>
      </w:r>
    </w:p>
    <w:bookmarkEnd w:id="0"/>
    <w:p w14:paraId="369A1511" w14:textId="72BD81C4"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 xml:space="preserve">Штрафи </w:t>
      </w:r>
      <w:proofErr w:type="spellStart"/>
      <w:r w:rsidRPr="001E72D1">
        <w:rPr>
          <w:rFonts w:ascii="Times New Roman" w:hAnsi="Times New Roman" w:cs="Times New Roman"/>
          <w:sz w:val="28"/>
          <w:szCs w:val="28"/>
        </w:rPr>
        <w:t>Держпраці</w:t>
      </w:r>
      <w:proofErr w:type="spellEnd"/>
      <w:r w:rsidRPr="001E72D1">
        <w:rPr>
          <w:rFonts w:ascii="Times New Roman" w:hAnsi="Times New Roman" w:cs="Times New Roman"/>
          <w:sz w:val="28"/>
          <w:szCs w:val="28"/>
        </w:rPr>
        <w:t xml:space="preserve"> за порушення трудового законодавства у 2026 році — оновлений огляд</w:t>
      </w:r>
      <w:r>
        <w:rPr>
          <w:rFonts w:ascii="Times New Roman" w:hAnsi="Times New Roman" w:cs="Times New Roman"/>
          <w:sz w:val="28"/>
          <w:szCs w:val="28"/>
        </w:rPr>
        <w:t>.</w:t>
      </w:r>
    </w:p>
    <w:p w14:paraId="0892A3AA"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З 1 січня 2026 року розміри фінансових санкцій за порушення норм трудового законодавства змінюються. Сума кожного штрафу прив'язана до мінімальної заробітної плати, яка на цю дату становить 8647грн. Розмір стягнення залежить від характеру порушення та факту його повторення й може коливатися від однієї до тридцяти мінімальних заробітних плат.</w:t>
      </w:r>
    </w:p>
    <w:p w14:paraId="3DE745CA"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Штрафи накладаються Державною службою України з питань праці відповідно до ст. 265 КЗпП та Порядку, затвердженого постановою КМУ №509 від 17.07.2013. Під час розрахунку застосовується розмір МЗП, чинний на момент виявлення порушення.</w:t>
      </w:r>
    </w:p>
    <w:p w14:paraId="326A1D31"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Основні види порушень і суми штрафів</w:t>
      </w:r>
    </w:p>
    <w:p w14:paraId="0035FA5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1. Робота без належного оформлення</w:t>
      </w:r>
    </w:p>
    <w:p w14:paraId="69AB7BF0"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Сюди належать:</w:t>
      </w:r>
    </w:p>
    <w:p w14:paraId="1278D040"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фактичний допуск до роботи без трудового договору;</w:t>
      </w:r>
    </w:p>
    <w:p w14:paraId="3FD9E9B6"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оформлення неповного робочого часу при фактичній роботі на повний день;</w:t>
      </w:r>
    </w:p>
    <w:p w14:paraId="25E7C961"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використання договору з нефіксованим робочим часом у разі постійного навантаження;</w:t>
      </w:r>
    </w:p>
    <w:p w14:paraId="4825550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виплата зарплати «в конверті» без сплати ЄСВ і податків.</w:t>
      </w:r>
    </w:p>
    <w:p w14:paraId="5B3C79C9"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6AFC507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10 МЗП (86 470 грн) за кожного працівника;</w:t>
      </w:r>
    </w:p>
    <w:p w14:paraId="6CA8A34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 xml:space="preserve">попередження для </w:t>
      </w:r>
      <w:proofErr w:type="spellStart"/>
      <w:r w:rsidRPr="001E72D1">
        <w:rPr>
          <w:rFonts w:ascii="Times New Roman" w:hAnsi="Times New Roman" w:cs="Times New Roman"/>
          <w:sz w:val="28"/>
          <w:szCs w:val="28"/>
        </w:rPr>
        <w:t>юросіб</w:t>
      </w:r>
      <w:proofErr w:type="spellEnd"/>
      <w:r w:rsidRPr="001E72D1">
        <w:rPr>
          <w:rFonts w:ascii="Times New Roman" w:hAnsi="Times New Roman" w:cs="Times New Roman"/>
          <w:sz w:val="28"/>
          <w:szCs w:val="28"/>
        </w:rPr>
        <w:t xml:space="preserve"> і ФОП — платників єдиного податку 1–3 груп.</w:t>
      </w:r>
    </w:p>
    <w:p w14:paraId="1C8D9D5D"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Повторне порушення (протягом 2 років):</w:t>
      </w:r>
    </w:p>
    <w:p w14:paraId="02DB9A58"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30 МЗП (259 410 грн) за кожного неоформленого працівника.</w:t>
      </w:r>
    </w:p>
    <w:p w14:paraId="3DBCD273"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2. Прострочення зарплати більш ніж на місяць або виплата не в повному обсязі</w:t>
      </w:r>
    </w:p>
    <w:p w14:paraId="77BAD8C1"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4DEEC484"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3 МЗП (25 941 грн).</w:t>
      </w:r>
    </w:p>
    <w:p w14:paraId="5BF5E168"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3. Порушення мінімальних державних гарантій з оплати праці</w:t>
      </w:r>
    </w:p>
    <w:p w14:paraId="46C76550"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474F03A0"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lastRenderedPageBreak/>
        <w:t>2 МЗП (17 294 грн) за кожного працівника.</w:t>
      </w:r>
    </w:p>
    <w:p w14:paraId="3D4AF0B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4. Недотримання гарантій та пільг для мобілізованих працівників</w:t>
      </w:r>
    </w:p>
    <w:p w14:paraId="11963D64"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4FCE0A81"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4 МЗП (34 588 грн) за кожного працівника;</w:t>
      </w:r>
    </w:p>
    <w:p w14:paraId="2E75D340"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 xml:space="preserve">для </w:t>
      </w:r>
      <w:proofErr w:type="spellStart"/>
      <w:r w:rsidRPr="001E72D1">
        <w:rPr>
          <w:rFonts w:ascii="Times New Roman" w:hAnsi="Times New Roman" w:cs="Times New Roman"/>
          <w:sz w:val="28"/>
          <w:szCs w:val="28"/>
        </w:rPr>
        <w:t>єдинників</w:t>
      </w:r>
      <w:proofErr w:type="spellEnd"/>
      <w:r w:rsidRPr="001E72D1">
        <w:rPr>
          <w:rFonts w:ascii="Times New Roman" w:hAnsi="Times New Roman" w:cs="Times New Roman"/>
          <w:sz w:val="28"/>
          <w:szCs w:val="28"/>
        </w:rPr>
        <w:t xml:space="preserve"> 1–3 груп — попередження.</w:t>
      </w:r>
    </w:p>
    <w:p w14:paraId="793616AA"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 xml:space="preserve">5. </w:t>
      </w:r>
      <w:proofErr w:type="spellStart"/>
      <w:r w:rsidRPr="001E72D1">
        <w:rPr>
          <w:rFonts w:ascii="Times New Roman" w:hAnsi="Times New Roman" w:cs="Times New Roman"/>
          <w:sz w:val="28"/>
          <w:szCs w:val="28"/>
        </w:rPr>
        <w:t>Недопуск</w:t>
      </w:r>
      <w:proofErr w:type="spellEnd"/>
      <w:r w:rsidRPr="001E72D1">
        <w:rPr>
          <w:rFonts w:ascii="Times New Roman" w:hAnsi="Times New Roman" w:cs="Times New Roman"/>
          <w:sz w:val="28"/>
          <w:szCs w:val="28"/>
        </w:rPr>
        <w:t xml:space="preserve"> інспекторів </w:t>
      </w:r>
      <w:proofErr w:type="spellStart"/>
      <w:r w:rsidRPr="001E72D1">
        <w:rPr>
          <w:rFonts w:ascii="Times New Roman" w:hAnsi="Times New Roman" w:cs="Times New Roman"/>
          <w:sz w:val="28"/>
          <w:szCs w:val="28"/>
        </w:rPr>
        <w:t>Держпраці</w:t>
      </w:r>
      <w:proofErr w:type="spellEnd"/>
      <w:r w:rsidRPr="001E72D1">
        <w:rPr>
          <w:rFonts w:ascii="Times New Roman" w:hAnsi="Times New Roman" w:cs="Times New Roman"/>
          <w:sz w:val="28"/>
          <w:szCs w:val="28"/>
        </w:rPr>
        <w:t xml:space="preserve"> до перевірки</w:t>
      </w:r>
    </w:p>
    <w:p w14:paraId="2E059616"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 xml:space="preserve">У разі звичайного </w:t>
      </w:r>
      <w:proofErr w:type="spellStart"/>
      <w:r w:rsidRPr="001E72D1">
        <w:rPr>
          <w:rFonts w:ascii="Times New Roman" w:hAnsi="Times New Roman" w:cs="Times New Roman"/>
          <w:sz w:val="28"/>
          <w:szCs w:val="28"/>
        </w:rPr>
        <w:t>недопуску</w:t>
      </w:r>
      <w:proofErr w:type="spellEnd"/>
      <w:r w:rsidRPr="001E72D1">
        <w:rPr>
          <w:rFonts w:ascii="Times New Roman" w:hAnsi="Times New Roman" w:cs="Times New Roman"/>
          <w:sz w:val="28"/>
          <w:szCs w:val="28"/>
        </w:rPr>
        <w:t>: 3 МЗП (25 941 грн).</w:t>
      </w:r>
    </w:p>
    <w:p w14:paraId="275B9812"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Якщо перешкоджання стосується перевірки фактів неоформленої праці: 16 МЗП (138 352 грн).</w:t>
      </w:r>
    </w:p>
    <w:p w14:paraId="7FE5A85A"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6. Перевищення дозволеної кількості договорів з нефіксованим робочим часом або неправильний облік робочого часу</w:t>
      </w:r>
    </w:p>
    <w:p w14:paraId="31B7A6ED"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229204E3"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3 МЗП (25 941 грн) за кожного працівника.</w:t>
      </w:r>
    </w:p>
    <w:p w14:paraId="56D23FDF"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7. Інші порушення трудового законодавства</w:t>
      </w:r>
    </w:p>
    <w:p w14:paraId="3E430103"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w:t>
      </w:r>
    </w:p>
    <w:p w14:paraId="0357ED9C"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1 МЗП (8 647 грн) за кожен випадок.</w:t>
      </w:r>
    </w:p>
    <w:p w14:paraId="5F43243B"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Повторне протягом року:</w:t>
      </w:r>
    </w:p>
    <w:p w14:paraId="6486D4B8"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2 МЗП (17 294 грн).</w:t>
      </w:r>
    </w:p>
    <w:p w14:paraId="239B8537"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Додаткові положення</w:t>
      </w:r>
    </w:p>
    <w:p w14:paraId="11FF8F52"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Штрафи накладаються у встановленому урядом порядку.</w:t>
      </w:r>
    </w:p>
    <w:p w14:paraId="1429FE94" w14:textId="77777777"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Якщо суб’єкт господарювання сплачує 50% суми штрафу протягом 10 банківських днів з моменту отримання постанови, обов’язок вважається виконаним. Водночас це не звільняє від необхідності повністю усунути порушення.</w:t>
      </w:r>
    </w:p>
    <w:p w14:paraId="7372C7EA" w14:textId="2A1839AD" w:rsidR="00CE522E" w:rsidRDefault="001E72D1" w:rsidP="001E72D1">
      <w:pPr>
        <w:jc w:val="both"/>
        <w:rPr>
          <w:rFonts w:ascii="Times New Roman" w:hAnsi="Times New Roman" w:cs="Times New Roman"/>
          <w:sz w:val="28"/>
          <w:szCs w:val="28"/>
        </w:rPr>
      </w:pPr>
      <w:proofErr w:type="spellStart"/>
      <w:r w:rsidRPr="001E72D1">
        <w:rPr>
          <w:rFonts w:ascii="Times New Roman" w:hAnsi="Times New Roman" w:cs="Times New Roman"/>
          <w:sz w:val="28"/>
          <w:szCs w:val="28"/>
        </w:rPr>
        <w:t>Гіг</w:t>
      </w:r>
      <w:proofErr w:type="spellEnd"/>
      <w:r w:rsidRPr="001E72D1">
        <w:rPr>
          <w:rFonts w:ascii="Times New Roman" w:hAnsi="Times New Roman" w:cs="Times New Roman"/>
          <w:sz w:val="28"/>
          <w:szCs w:val="28"/>
        </w:rPr>
        <w:t>-контракти, укладені відповідно до Закону «Про стимулювання розвитку цифрової економіки в Україні», не розглядаються як робота без оформлення трудових відносин і не тягнуть за собою санкцій за ст. 265 КЗпП.</w:t>
      </w:r>
    </w:p>
    <w:p w14:paraId="056E9C36" w14:textId="71441974" w:rsidR="001E72D1" w:rsidRPr="001E72D1" w:rsidRDefault="001E72D1" w:rsidP="001E72D1">
      <w:pPr>
        <w:jc w:val="both"/>
        <w:rPr>
          <w:rFonts w:ascii="Times New Roman" w:hAnsi="Times New Roman" w:cs="Times New Roman"/>
          <w:sz w:val="28"/>
          <w:szCs w:val="28"/>
        </w:rPr>
      </w:pPr>
      <w:r w:rsidRPr="001E72D1">
        <w:rPr>
          <w:rFonts w:ascii="Times New Roman" w:hAnsi="Times New Roman" w:cs="Times New Roman"/>
          <w:sz w:val="28"/>
          <w:szCs w:val="28"/>
        </w:rPr>
        <w:t>Детальніше за посиланням</w:t>
      </w:r>
    </w:p>
    <w:p w14:paraId="5719CF6E" w14:textId="564E5D38" w:rsidR="001E72D1" w:rsidRDefault="007C3BA4" w:rsidP="001E72D1">
      <w:pPr>
        <w:jc w:val="both"/>
        <w:rPr>
          <w:rFonts w:ascii="Times New Roman" w:hAnsi="Times New Roman" w:cs="Times New Roman"/>
          <w:sz w:val="28"/>
          <w:szCs w:val="28"/>
        </w:rPr>
      </w:pPr>
      <w:hyperlink r:id="rId4" w:history="1">
        <w:r w:rsidR="001E72D1" w:rsidRPr="002938E2">
          <w:rPr>
            <w:rStyle w:val="ac"/>
            <w:rFonts w:ascii="Times New Roman" w:hAnsi="Times New Roman" w:cs="Times New Roman"/>
            <w:sz w:val="28"/>
            <w:szCs w:val="28"/>
          </w:rPr>
          <w:t>https://fru-gkh.com/question_one/945</w:t>
        </w:r>
      </w:hyperlink>
    </w:p>
    <w:sectPr w:rsidR="001E7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1C"/>
    <w:rsid w:val="001E72D1"/>
    <w:rsid w:val="004F023A"/>
    <w:rsid w:val="006C761C"/>
    <w:rsid w:val="007C3BA4"/>
    <w:rsid w:val="009E4C43"/>
    <w:rsid w:val="00CE52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6761"/>
  <w15:chartTrackingRefBased/>
  <w15:docId w15:val="{39845E1A-B381-42D1-9E14-606937CA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C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76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76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76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76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76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76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76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761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761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761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761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761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76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761C"/>
    <w:rPr>
      <w:rFonts w:eastAsiaTheme="majorEastAsia" w:cstheme="majorBidi"/>
      <w:color w:val="595959" w:themeColor="text1" w:themeTint="A6"/>
    </w:rPr>
  </w:style>
  <w:style w:type="character" w:customStyle="1" w:styleId="80">
    <w:name w:val="Заголовок 8 Знак"/>
    <w:basedOn w:val="a0"/>
    <w:link w:val="8"/>
    <w:uiPriority w:val="9"/>
    <w:semiHidden/>
    <w:rsid w:val="006C76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761C"/>
    <w:rPr>
      <w:rFonts w:eastAsiaTheme="majorEastAsia" w:cstheme="majorBidi"/>
      <w:color w:val="272727" w:themeColor="text1" w:themeTint="D8"/>
    </w:rPr>
  </w:style>
  <w:style w:type="paragraph" w:styleId="a3">
    <w:name w:val="Title"/>
    <w:basedOn w:val="a"/>
    <w:next w:val="a"/>
    <w:link w:val="a4"/>
    <w:uiPriority w:val="10"/>
    <w:qFormat/>
    <w:rsid w:val="006C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C7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6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7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761C"/>
    <w:pPr>
      <w:spacing w:before="160"/>
      <w:jc w:val="center"/>
    </w:pPr>
    <w:rPr>
      <w:i/>
      <w:iCs/>
      <w:color w:val="404040" w:themeColor="text1" w:themeTint="BF"/>
    </w:rPr>
  </w:style>
  <w:style w:type="character" w:customStyle="1" w:styleId="22">
    <w:name w:val="Цитата 2 Знак"/>
    <w:basedOn w:val="a0"/>
    <w:link w:val="21"/>
    <w:uiPriority w:val="29"/>
    <w:rsid w:val="006C761C"/>
    <w:rPr>
      <w:i/>
      <w:iCs/>
      <w:color w:val="404040" w:themeColor="text1" w:themeTint="BF"/>
    </w:rPr>
  </w:style>
  <w:style w:type="paragraph" w:styleId="a7">
    <w:name w:val="List Paragraph"/>
    <w:basedOn w:val="a"/>
    <w:uiPriority w:val="34"/>
    <w:qFormat/>
    <w:rsid w:val="006C761C"/>
    <w:pPr>
      <w:ind w:left="720"/>
      <w:contextualSpacing/>
    </w:pPr>
  </w:style>
  <w:style w:type="character" w:styleId="a8">
    <w:name w:val="Intense Emphasis"/>
    <w:basedOn w:val="a0"/>
    <w:uiPriority w:val="21"/>
    <w:qFormat/>
    <w:rsid w:val="006C761C"/>
    <w:rPr>
      <w:i/>
      <w:iCs/>
      <w:color w:val="0F4761" w:themeColor="accent1" w:themeShade="BF"/>
    </w:rPr>
  </w:style>
  <w:style w:type="paragraph" w:styleId="a9">
    <w:name w:val="Intense Quote"/>
    <w:basedOn w:val="a"/>
    <w:next w:val="a"/>
    <w:link w:val="aa"/>
    <w:uiPriority w:val="30"/>
    <w:qFormat/>
    <w:rsid w:val="006C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761C"/>
    <w:rPr>
      <w:i/>
      <w:iCs/>
      <w:color w:val="0F4761" w:themeColor="accent1" w:themeShade="BF"/>
    </w:rPr>
  </w:style>
  <w:style w:type="character" w:styleId="ab">
    <w:name w:val="Intense Reference"/>
    <w:basedOn w:val="a0"/>
    <w:uiPriority w:val="32"/>
    <w:qFormat/>
    <w:rsid w:val="006C761C"/>
    <w:rPr>
      <w:b/>
      <w:bCs/>
      <w:smallCaps/>
      <w:color w:val="0F4761" w:themeColor="accent1" w:themeShade="BF"/>
      <w:spacing w:val="5"/>
    </w:rPr>
  </w:style>
  <w:style w:type="character" w:styleId="ac">
    <w:name w:val="Hyperlink"/>
    <w:basedOn w:val="a0"/>
    <w:uiPriority w:val="99"/>
    <w:unhideWhenUsed/>
    <w:rsid w:val="001E72D1"/>
    <w:rPr>
      <w:color w:val="467886" w:themeColor="hyperlink"/>
      <w:u w:val="single"/>
    </w:rPr>
  </w:style>
  <w:style w:type="character" w:customStyle="1" w:styleId="UnresolvedMention">
    <w:name w:val="Unresolved Mention"/>
    <w:basedOn w:val="a0"/>
    <w:uiPriority w:val="99"/>
    <w:semiHidden/>
    <w:unhideWhenUsed/>
    <w:rsid w:val="001E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u-gkh.com/question_one/9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1742</Words>
  <Characters>994</Characters>
  <Application>Microsoft Office Word</Application>
  <DocSecurity>0</DocSecurity>
  <Lines>8</Lines>
  <Paragraphs>5</Paragraphs>
  <ScaleCrop>false</ScaleCrop>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Учетная запись Майкрософт</cp:lastModifiedBy>
  <cp:revision>3</cp:revision>
  <dcterms:created xsi:type="dcterms:W3CDTF">2025-12-15T08:27:00Z</dcterms:created>
  <dcterms:modified xsi:type="dcterms:W3CDTF">2025-12-17T14:54:00Z</dcterms:modified>
</cp:coreProperties>
</file>