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1D04" w14:textId="77777777" w:rsidR="00A86221" w:rsidRDefault="00A86221" w:rsidP="002C18B6">
      <w:pPr>
        <w:jc w:val="center"/>
        <w:rPr>
          <w:b/>
          <w:bCs/>
        </w:rPr>
      </w:pPr>
    </w:p>
    <w:p w14:paraId="1BAF1CBC" w14:textId="5BC9F1D3" w:rsidR="00500232" w:rsidRPr="002C18B6" w:rsidRDefault="00500232" w:rsidP="002C18B6">
      <w:pPr>
        <w:jc w:val="center"/>
        <w:rPr>
          <w:b/>
          <w:bCs/>
        </w:rPr>
      </w:pPr>
      <w:r w:rsidRPr="002C18B6">
        <w:rPr>
          <w:b/>
          <w:bCs/>
        </w:rPr>
        <w:t xml:space="preserve">ТЕЗИ презентації «Міфи про обшук та </w:t>
      </w:r>
      <w:r w:rsidR="00C73160" w:rsidRPr="002C18B6">
        <w:rPr>
          <w:b/>
          <w:bCs/>
        </w:rPr>
        <w:t xml:space="preserve">маніпуляції на досудовому </w:t>
      </w:r>
      <w:r w:rsidRPr="002C18B6">
        <w:rPr>
          <w:b/>
          <w:bCs/>
        </w:rPr>
        <w:t>слідств</w:t>
      </w:r>
      <w:r w:rsidR="00C73160" w:rsidRPr="002C18B6">
        <w:rPr>
          <w:b/>
          <w:bCs/>
        </w:rPr>
        <w:t>і</w:t>
      </w:r>
      <w:r w:rsidRPr="002C18B6">
        <w:rPr>
          <w:b/>
          <w:bCs/>
        </w:rPr>
        <w:t>»</w:t>
      </w:r>
    </w:p>
    <w:p w14:paraId="72FE7452" w14:textId="497C3AE4" w:rsidR="00500232" w:rsidRPr="00A74202" w:rsidRDefault="00500232" w:rsidP="00500232">
      <w:pPr>
        <w:pStyle w:val="a9"/>
        <w:numPr>
          <w:ilvl w:val="0"/>
          <w:numId w:val="1"/>
        </w:numPr>
        <w:rPr>
          <w:b/>
          <w:bCs/>
        </w:rPr>
      </w:pPr>
      <w:r w:rsidRPr="00A74202">
        <w:rPr>
          <w:b/>
          <w:bCs/>
        </w:rPr>
        <w:t xml:space="preserve">Опечатування вхідних дверей </w:t>
      </w:r>
      <w:proofErr w:type="spellStart"/>
      <w:r w:rsidRPr="00A74202">
        <w:rPr>
          <w:b/>
          <w:bCs/>
        </w:rPr>
        <w:t>біркою</w:t>
      </w:r>
      <w:proofErr w:type="spellEnd"/>
      <w:r w:rsidRPr="00A74202">
        <w:rPr>
          <w:b/>
          <w:bCs/>
        </w:rPr>
        <w:t xml:space="preserve"> з печатками і підписами дорівнює арешту майна та перешкоджає входу</w:t>
      </w:r>
    </w:p>
    <w:p w14:paraId="6ABB982F" w14:textId="39CA363D" w:rsidR="00806431" w:rsidRDefault="00806431" w:rsidP="00806431">
      <w:pPr>
        <w:ind w:firstLine="360"/>
        <w:jc w:val="both"/>
      </w:pPr>
      <w:r>
        <w:t xml:space="preserve">На відміну від цивільних справ у кримінальному провадженні арешт заходом забезпечення кримінального провадження і може накладатись на майно осіб, які не мають жодного відношення до злочину та можуть навіть не здогадуватися, що на їх майно накладено арешт. Мета арешту майна може бути різною, починаючи від забезпечення майбутньої конфіскації майна, якщо це передбачає санкція статті, якою кваліфікується злочин, закінчуючи забезпеченням збереження належного стану майна для проведення необхідних експертиз та досліджень у справі. </w:t>
      </w:r>
    </w:p>
    <w:p w14:paraId="5AA91C15" w14:textId="29056ABA" w:rsidR="00806431" w:rsidRDefault="00806431" w:rsidP="00A74202">
      <w:pPr>
        <w:ind w:firstLine="360"/>
        <w:jc w:val="both"/>
      </w:pPr>
      <w:r>
        <w:t>В рамках кримінального провадження передбачений цивільний позов і арешт на майно може ініціювати потерпіла сторона або слідчий якщо є необхідність забезпечити цивільний позов в рамках кримінального провадження.</w:t>
      </w:r>
    </w:p>
    <w:p w14:paraId="437042FE" w14:textId="72C4E803" w:rsidR="00806431" w:rsidRPr="002C18B6" w:rsidRDefault="00806431" w:rsidP="00806431">
      <w:pPr>
        <w:rPr>
          <w:i/>
          <w:iCs/>
        </w:rPr>
      </w:pPr>
      <w:r>
        <w:t xml:space="preserve">В кримінальному провадженні арешт на майно накладає слідчий суддя за клопотанням сторони в порядку </w:t>
      </w:r>
      <w:r w:rsidRPr="002C18B6">
        <w:rPr>
          <w:i/>
          <w:iCs/>
        </w:rPr>
        <w:t>глави 17 КПК України, це статті 170-175 КПК.</w:t>
      </w:r>
    </w:p>
    <w:p w14:paraId="5B36CEA5" w14:textId="77777777" w:rsidR="00A74202" w:rsidRDefault="00A74202" w:rsidP="00806431"/>
    <w:p w14:paraId="2B5B5224" w14:textId="4FDC1771" w:rsidR="00500232" w:rsidRPr="00A74202" w:rsidRDefault="00500232" w:rsidP="00500232">
      <w:pPr>
        <w:pStyle w:val="a9"/>
        <w:numPr>
          <w:ilvl w:val="0"/>
          <w:numId w:val="1"/>
        </w:numPr>
        <w:rPr>
          <w:b/>
          <w:bCs/>
        </w:rPr>
      </w:pPr>
      <w:r w:rsidRPr="00A74202">
        <w:rPr>
          <w:b/>
          <w:bCs/>
        </w:rPr>
        <w:t>Надати свій телефон у розблокованому стані убезпечує від його вилучення</w:t>
      </w:r>
    </w:p>
    <w:p w14:paraId="2989C702" w14:textId="2FB14457" w:rsidR="00806431" w:rsidRDefault="00806431" w:rsidP="00806431">
      <w:pPr>
        <w:ind w:firstLine="360"/>
      </w:pPr>
      <w:r>
        <w:t>За попередньою редакцією ч. 6 ст. 236 КПК слідчий, прокурор під час проведення обшуку мав і нині має право відкривати закриті приміщення, сховища, речі, якщо особа, присутня при обшуку, відмовляється їх відкрити або обшук здійснюється за відсутності відповідних осіб. Тепер цей обсяг прав слідчого, прокурора доповнено правилом, згідно з яким, вони вправі долати системи логічного захисту, якщо особа, присутня при обшуку, відмовляється зняти (деактивувати) систему логічного захисту.</w:t>
      </w:r>
    </w:p>
    <w:p w14:paraId="1DFBD4C5" w14:textId="7A230FB3" w:rsidR="00806431" w:rsidRDefault="00806431" w:rsidP="00A74202">
      <w:pPr>
        <w:ind w:firstLine="360"/>
        <w:jc w:val="both"/>
      </w:pPr>
      <w:r>
        <w:t>При цьому цю частину 6 ст. 236 КПК доповнено двома новими абзацами. В новому абзаці 2 вказано, що слідчий, прокурор, у разі виявлення під час обшуку комп’ютерів чи мобільних телефонів, для виявлення яких не надано дозвіл на проведення обшуку, вони вправі здійснити пошук, виявлення та фіксацію комп’ютерних даних, що на них міститься, на місці проведення обшуку. Судового контролю щодо доступу до цих даних на цьому етапі не передбачено.</w:t>
      </w:r>
    </w:p>
    <w:p w14:paraId="5236CA06" w14:textId="77777777" w:rsidR="00A74202" w:rsidRDefault="00A74202" w:rsidP="00A74202">
      <w:pPr>
        <w:ind w:firstLine="360"/>
        <w:jc w:val="both"/>
      </w:pPr>
    </w:p>
    <w:p w14:paraId="1F3921F1" w14:textId="3DEC2BCC" w:rsidR="00500232" w:rsidRPr="00A74202" w:rsidRDefault="00500232" w:rsidP="00500232">
      <w:pPr>
        <w:pStyle w:val="a9"/>
        <w:numPr>
          <w:ilvl w:val="0"/>
          <w:numId w:val="1"/>
        </w:numPr>
        <w:rPr>
          <w:b/>
          <w:bCs/>
        </w:rPr>
      </w:pPr>
      <w:r w:rsidRPr="00A74202">
        <w:rPr>
          <w:b/>
          <w:bCs/>
        </w:rPr>
        <w:t xml:space="preserve">Добровільно видати запитувані документи (речі) перед обшуком – це ефективний спосіб </w:t>
      </w:r>
      <w:r w:rsidR="00C73160" w:rsidRPr="00A74202">
        <w:rPr>
          <w:b/>
          <w:bCs/>
        </w:rPr>
        <w:t>уникнути обшуку та блокування роботи компанії</w:t>
      </w:r>
    </w:p>
    <w:p w14:paraId="4587F912" w14:textId="67D62E88" w:rsidR="000354EE" w:rsidRDefault="000354EE" w:rsidP="00A74202">
      <w:pPr>
        <w:ind w:firstLine="360"/>
        <w:jc w:val="both"/>
      </w:pPr>
      <w:r>
        <w:t xml:space="preserve">Вимоги до проведення слідчих (розшукових) дій визначено </w:t>
      </w:r>
      <w:r w:rsidRPr="00A74202">
        <w:rPr>
          <w:i/>
          <w:iCs/>
        </w:rPr>
        <w:t>статтею 223 КПК</w:t>
      </w:r>
      <w:r>
        <w:t>, згідно з частиною сьомою якої обшук або огляд житла чи іншого володіння особи, обшук особи здійснюються з обов'язковою участю не менше двох понятих незалежно від застосування технічних засобів фіксування відповідної слідчої (розшукової) дії.</w:t>
      </w:r>
    </w:p>
    <w:p w14:paraId="7DBF5353" w14:textId="255E08B8" w:rsidR="000354EE" w:rsidRDefault="000354EE" w:rsidP="000354EE">
      <w:pPr>
        <w:ind w:firstLine="360"/>
        <w:jc w:val="both"/>
      </w:pPr>
      <w:r w:rsidRPr="00A74202">
        <w:rPr>
          <w:i/>
          <w:iCs/>
        </w:rPr>
        <w:lastRenderedPageBreak/>
        <w:t>Статтею 236 КПК</w:t>
      </w:r>
      <w:r>
        <w:t xml:space="preserve"> встановлено порядок виконання ухвали слідчого судді про дозвіл на обшук житла чи іншого володіння особи. Згідно з </w:t>
      </w:r>
      <w:r w:rsidRPr="00A74202">
        <w:rPr>
          <w:i/>
          <w:iCs/>
        </w:rPr>
        <w:t>частиною п'ятою цієї статті КПК</w:t>
      </w:r>
      <w:r>
        <w:t xml:space="preserve"> обшук на підставі ухвали слідчого судді повинен проводитися в обсязі, необхідному для досягнення мети обшуку.</w:t>
      </w:r>
    </w:p>
    <w:p w14:paraId="21189F96" w14:textId="7087D0B1" w:rsidR="000354EE" w:rsidRDefault="000354EE" w:rsidP="000354EE">
      <w:pPr>
        <w:ind w:firstLine="360"/>
        <w:jc w:val="both"/>
      </w:pPr>
      <w:r>
        <w:t xml:space="preserve">У свою чергу порядок проведення огляду регламентовано </w:t>
      </w:r>
      <w:r w:rsidRPr="00A74202">
        <w:rPr>
          <w:i/>
          <w:iCs/>
        </w:rPr>
        <w:t>статтею 237 КПК</w:t>
      </w:r>
      <w:r>
        <w:t>, відповідно до частини п'ятої якої при проведенні огляду дозволяється вилучення лише речей і документів, які мають значення для кримінального провадження, та речей, вилучених з обігу. Усі вилучені речі і документи підлягають негайному огляду і опечатуванню із завіренням підписами осіб, які брали участь у проведенні огляду. У разі якщо огляд речей і документів на місці здійснити неможливо або їх огляд пов'язаний з ускладненнями, вони тимчасово опечатуються і зберігаються у такому вигляді доти, доки не буде здійснено їх остаточні огляд і опечатування.</w:t>
      </w:r>
    </w:p>
    <w:p w14:paraId="416787B8" w14:textId="28590B53" w:rsidR="00806431" w:rsidRDefault="000354EE" w:rsidP="00A74202">
      <w:pPr>
        <w:ind w:firstLine="360"/>
      </w:pPr>
      <w:r>
        <w:t xml:space="preserve">При обшуку та огляді слідчий, прокурор серед іншого має право оглядати і вилучати речі і документи, які мають значення для кримінального провадження. Вилучені речі та документи, які не входять до переліку, щодо якого прямо надано дозвіл на відшукання в ухвалі слідчого судді про дозвіл на проведення обшуку, та не відносяться до предметів, які вилучені законом з обігу, вважаються тимчасово вилученим майном </w:t>
      </w:r>
      <w:r w:rsidRPr="00A74202">
        <w:rPr>
          <w:i/>
          <w:iCs/>
        </w:rPr>
        <w:t>(частина сьома статті 236, частина сьома статті 237 КПК</w:t>
      </w:r>
      <w:r>
        <w:t>).</w:t>
      </w:r>
    </w:p>
    <w:p w14:paraId="330E64D2" w14:textId="77777777" w:rsidR="00A74202" w:rsidRDefault="00A74202" w:rsidP="00A74202">
      <w:pPr>
        <w:ind w:firstLine="360"/>
      </w:pPr>
    </w:p>
    <w:p w14:paraId="19152D2D" w14:textId="24932C3D" w:rsidR="00500232" w:rsidRPr="00A74202" w:rsidRDefault="00500232" w:rsidP="00500232">
      <w:pPr>
        <w:pStyle w:val="a9"/>
        <w:numPr>
          <w:ilvl w:val="0"/>
          <w:numId w:val="1"/>
        </w:numPr>
        <w:rPr>
          <w:b/>
          <w:bCs/>
        </w:rPr>
      </w:pPr>
      <w:r w:rsidRPr="00A74202">
        <w:rPr>
          <w:b/>
          <w:bCs/>
        </w:rPr>
        <w:t>Фіксувати порушення порядку обшуку необхідно на власний телефон</w:t>
      </w:r>
    </w:p>
    <w:p w14:paraId="435175EA" w14:textId="2FCFC1B4" w:rsidR="00806431" w:rsidRDefault="000354EE" w:rsidP="00A74202">
      <w:pPr>
        <w:pStyle w:val="a9"/>
        <w:numPr>
          <w:ilvl w:val="0"/>
          <w:numId w:val="3"/>
        </w:numPr>
        <w:jc w:val="both"/>
      </w:pPr>
      <w:r>
        <w:t>Незастосування технічних засобів фіксування при обшуку тягне за собою  недійсність відповідної процесуальної дії та отриманих внаслідок її вчинення  результатів.</w:t>
      </w:r>
      <w:r w:rsidR="00A74202">
        <w:t xml:space="preserve"> </w:t>
      </w:r>
      <w:r w:rsidRPr="00A74202">
        <w:rPr>
          <w:i/>
          <w:iCs/>
        </w:rPr>
        <w:t>(ч. 6 ст. 107 КПК)</w:t>
      </w:r>
    </w:p>
    <w:p w14:paraId="5ECB964A" w14:textId="0685CFDA" w:rsidR="00806431" w:rsidRPr="00A74202" w:rsidRDefault="000354EE" w:rsidP="00A74202">
      <w:pPr>
        <w:pStyle w:val="a9"/>
        <w:numPr>
          <w:ilvl w:val="0"/>
          <w:numId w:val="3"/>
        </w:numPr>
        <w:jc w:val="both"/>
        <w:rPr>
          <w:i/>
          <w:iCs/>
        </w:rPr>
      </w:pPr>
      <w:r>
        <w:t>Обшук житла чи іншого володіння особи в обов’язковому порядку фіксується за допомогою аудіо- та відеозапису.</w:t>
      </w:r>
      <w:r w:rsidR="00A74202">
        <w:t xml:space="preserve"> </w:t>
      </w:r>
      <w:r w:rsidRPr="00A74202">
        <w:rPr>
          <w:i/>
          <w:iCs/>
        </w:rPr>
        <w:t>(ч. 1 ст. 107 КПК, ч.10 ст. 236 КПК)</w:t>
      </w:r>
    </w:p>
    <w:p w14:paraId="5FB77A53" w14:textId="77777777" w:rsidR="00A74202" w:rsidRDefault="00A74202" w:rsidP="00A74202">
      <w:pPr>
        <w:jc w:val="both"/>
      </w:pPr>
    </w:p>
    <w:p w14:paraId="0C13373E" w14:textId="3D14F3B5" w:rsidR="00500232" w:rsidRPr="00A74202" w:rsidRDefault="00500232" w:rsidP="00500232">
      <w:pPr>
        <w:pStyle w:val="a9"/>
        <w:numPr>
          <w:ilvl w:val="0"/>
          <w:numId w:val="1"/>
        </w:numPr>
        <w:rPr>
          <w:b/>
          <w:bCs/>
        </w:rPr>
      </w:pPr>
      <w:r w:rsidRPr="00A74202">
        <w:rPr>
          <w:b/>
          <w:bCs/>
        </w:rPr>
        <w:t>У випадку незгоди з обшуком слід оскаржувати ухвалу суду та подавати скарги на дії слідчих до їх керівництва</w:t>
      </w:r>
    </w:p>
    <w:p w14:paraId="6DCA3A22" w14:textId="3CF5F90E" w:rsidR="00806431" w:rsidRDefault="000354EE" w:rsidP="00A74202">
      <w:pPr>
        <w:jc w:val="both"/>
        <w:rPr>
          <w:i/>
          <w:iCs/>
        </w:rPr>
      </w:pPr>
      <w:r>
        <w:t>Особи, у присутності яких здійснюється обшук, при проведенні цієї слідчої  (розшукової) дії мають право робити заяви, що підлягають занесенню до  протоколу обшуку</w:t>
      </w:r>
      <w:r w:rsidR="00A74202">
        <w:t xml:space="preserve"> </w:t>
      </w:r>
      <w:r w:rsidRPr="00A74202">
        <w:rPr>
          <w:i/>
          <w:iCs/>
        </w:rPr>
        <w:t>(ч. 8 ст. 236 КПК)</w:t>
      </w:r>
    </w:p>
    <w:p w14:paraId="368338DD" w14:textId="77777777" w:rsidR="00A74202" w:rsidRDefault="00A74202" w:rsidP="00A74202">
      <w:pPr>
        <w:jc w:val="both"/>
      </w:pPr>
    </w:p>
    <w:p w14:paraId="63FE7C70" w14:textId="0CB64E5C" w:rsidR="00806431" w:rsidRDefault="00500232" w:rsidP="00A74202">
      <w:pPr>
        <w:pStyle w:val="a9"/>
        <w:numPr>
          <w:ilvl w:val="0"/>
          <w:numId w:val="1"/>
        </w:numPr>
        <w:rPr>
          <w:b/>
          <w:bCs/>
        </w:rPr>
      </w:pPr>
      <w:r w:rsidRPr="00A74202">
        <w:rPr>
          <w:b/>
          <w:bCs/>
        </w:rPr>
        <w:t>Підписані під час обшуку пояснення дорівнюють допиту свідка</w:t>
      </w:r>
    </w:p>
    <w:p w14:paraId="20D3A955" w14:textId="722A3537" w:rsidR="00A86221" w:rsidRPr="00A86221" w:rsidRDefault="00A86221" w:rsidP="00A86221">
      <w:pPr>
        <w:pStyle w:val="a9"/>
      </w:pPr>
      <w:r w:rsidRPr="00A86221">
        <w:t>Особи, які під час обшуку надавали пояснення або фактично були допитані, набувають процесуального статусу учасників кримінального провадження, навіть якщо формально їм його не роз’яснили. Надані в такій ситуації відомості часто використовуються слідством як доказова база, попри порушення процедури допиту. Саме тому будь-які пояснення під час обшуку несуть підвищені правові ризики для цих осіб.</w:t>
      </w:r>
    </w:p>
    <w:p w14:paraId="7F9225C2" w14:textId="77777777" w:rsidR="00A86221" w:rsidRDefault="00A86221" w:rsidP="00A86221">
      <w:pPr>
        <w:pStyle w:val="a9"/>
        <w:rPr>
          <w:b/>
          <w:bCs/>
        </w:rPr>
      </w:pPr>
    </w:p>
    <w:p w14:paraId="69578E73" w14:textId="48E8D286" w:rsidR="00500232" w:rsidRPr="00A74202" w:rsidRDefault="00500232" w:rsidP="00500232">
      <w:pPr>
        <w:pStyle w:val="a9"/>
        <w:numPr>
          <w:ilvl w:val="0"/>
          <w:numId w:val="1"/>
        </w:numPr>
        <w:rPr>
          <w:b/>
          <w:bCs/>
        </w:rPr>
      </w:pPr>
      <w:r w:rsidRPr="00A74202">
        <w:rPr>
          <w:b/>
          <w:bCs/>
        </w:rPr>
        <w:lastRenderedPageBreak/>
        <w:t xml:space="preserve">У разі вилучення великого обсягу первинної документації ефективним є опис кількості аркушів у </w:t>
      </w:r>
      <w:r w:rsidR="00C73160" w:rsidRPr="00A74202">
        <w:rPr>
          <w:b/>
          <w:bCs/>
        </w:rPr>
        <w:t>швидкозшивачах</w:t>
      </w:r>
    </w:p>
    <w:p w14:paraId="7E5D0831" w14:textId="56956950" w:rsidR="00500232" w:rsidRPr="00A74202" w:rsidRDefault="000354EE" w:rsidP="000354EE">
      <w:pPr>
        <w:rPr>
          <w:i/>
          <w:iCs/>
        </w:rPr>
      </w:pPr>
      <w:r>
        <w:t xml:space="preserve">Копії первинних документів та регістрів бухгалтерського обліку можуть  бути вилучені у підприємства лише за рішенням відповідних органів,  прийнятим у межах їх повноважень, передбачених законами. Обов'язковим є  складання реєстру документів, що вилучаються у порядку, встановленому  законодавством </w:t>
      </w:r>
      <w:r w:rsidRPr="00A74202">
        <w:rPr>
          <w:i/>
          <w:iCs/>
        </w:rPr>
        <w:t>(ч. 9 ст. 9 Закону “Про бухгалтерський облік та фінансову звітність в Україні”)</w:t>
      </w:r>
    </w:p>
    <w:sectPr w:rsidR="00500232" w:rsidRPr="00A7420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A04FC"/>
    <w:multiLevelType w:val="hybridMultilevel"/>
    <w:tmpl w:val="FABC928E"/>
    <w:lvl w:ilvl="0" w:tplc="083C311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FD79A4"/>
    <w:multiLevelType w:val="hybridMultilevel"/>
    <w:tmpl w:val="B62682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7A27ABC"/>
    <w:multiLevelType w:val="hybridMultilevel"/>
    <w:tmpl w:val="B78AA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5200448">
    <w:abstractNumId w:val="1"/>
  </w:num>
  <w:num w:numId="2" w16cid:durableId="584610821">
    <w:abstractNumId w:val="2"/>
  </w:num>
  <w:num w:numId="3" w16cid:durableId="164903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32"/>
    <w:rsid w:val="000354EE"/>
    <w:rsid w:val="00183E95"/>
    <w:rsid w:val="001F4E32"/>
    <w:rsid w:val="002C18B6"/>
    <w:rsid w:val="00500232"/>
    <w:rsid w:val="00806431"/>
    <w:rsid w:val="0085734F"/>
    <w:rsid w:val="00A74202"/>
    <w:rsid w:val="00A86221"/>
    <w:rsid w:val="00C731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6B55"/>
  <w15:chartTrackingRefBased/>
  <w15:docId w15:val="{5B162A00-2F05-4D97-84F4-61E5DF74D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002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002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0023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0023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0023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0023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0023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0023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0023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023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0023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0023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0023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0023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0023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00232"/>
    <w:rPr>
      <w:rFonts w:eastAsiaTheme="majorEastAsia" w:cstheme="majorBidi"/>
      <w:color w:val="595959" w:themeColor="text1" w:themeTint="A6"/>
    </w:rPr>
  </w:style>
  <w:style w:type="character" w:customStyle="1" w:styleId="80">
    <w:name w:val="Заголовок 8 Знак"/>
    <w:basedOn w:val="a0"/>
    <w:link w:val="8"/>
    <w:uiPriority w:val="9"/>
    <w:semiHidden/>
    <w:rsid w:val="0050023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00232"/>
    <w:rPr>
      <w:rFonts w:eastAsiaTheme="majorEastAsia" w:cstheme="majorBidi"/>
      <w:color w:val="272727" w:themeColor="text1" w:themeTint="D8"/>
    </w:rPr>
  </w:style>
  <w:style w:type="paragraph" w:styleId="a3">
    <w:name w:val="Title"/>
    <w:basedOn w:val="a"/>
    <w:next w:val="a"/>
    <w:link w:val="a4"/>
    <w:uiPriority w:val="10"/>
    <w:qFormat/>
    <w:rsid w:val="005002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002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023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0023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00232"/>
    <w:pPr>
      <w:spacing w:before="160"/>
      <w:jc w:val="center"/>
    </w:pPr>
    <w:rPr>
      <w:i/>
      <w:iCs/>
      <w:color w:val="404040" w:themeColor="text1" w:themeTint="BF"/>
    </w:rPr>
  </w:style>
  <w:style w:type="character" w:customStyle="1" w:styleId="a8">
    <w:name w:val="Цитата Знак"/>
    <w:basedOn w:val="a0"/>
    <w:link w:val="a7"/>
    <w:uiPriority w:val="29"/>
    <w:rsid w:val="00500232"/>
    <w:rPr>
      <w:i/>
      <w:iCs/>
      <w:color w:val="404040" w:themeColor="text1" w:themeTint="BF"/>
    </w:rPr>
  </w:style>
  <w:style w:type="paragraph" w:styleId="a9">
    <w:name w:val="List Paragraph"/>
    <w:basedOn w:val="a"/>
    <w:uiPriority w:val="34"/>
    <w:qFormat/>
    <w:rsid w:val="00500232"/>
    <w:pPr>
      <w:ind w:left="720"/>
      <w:contextualSpacing/>
    </w:pPr>
  </w:style>
  <w:style w:type="character" w:styleId="aa">
    <w:name w:val="Intense Emphasis"/>
    <w:basedOn w:val="a0"/>
    <w:uiPriority w:val="21"/>
    <w:qFormat/>
    <w:rsid w:val="00500232"/>
    <w:rPr>
      <w:i/>
      <w:iCs/>
      <w:color w:val="0F4761" w:themeColor="accent1" w:themeShade="BF"/>
    </w:rPr>
  </w:style>
  <w:style w:type="paragraph" w:styleId="ab">
    <w:name w:val="Intense Quote"/>
    <w:basedOn w:val="a"/>
    <w:next w:val="a"/>
    <w:link w:val="ac"/>
    <w:uiPriority w:val="30"/>
    <w:qFormat/>
    <w:rsid w:val="005002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500232"/>
    <w:rPr>
      <w:i/>
      <w:iCs/>
      <w:color w:val="0F4761" w:themeColor="accent1" w:themeShade="BF"/>
    </w:rPr>
  </w:style>
  <w:style w:type="character" w:styleId="ad">
    <w:name w:val="Intense Reference"/>
    <w:basedOn w:val="a0"/>
    <w:uiPriority w:val="32"/>
    <w:qFormat/>
    <w:rsid w:val="005002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CB06A-A7E4-4067-9B5C-0CFEC359D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3501</Words>
  <Characters>1996</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 Horobets</dc:creator>
  <cp:keywords/>
  <dc:description/>
  <cp:lastModifiedBy>Oleksandr Chornukha</cp:lastModifiedBy>
  <cp:revision>2</cp:revision>
  <dcterms:created xsi:type="dcterms:W3CDTF">2026-01-26T13:24:00Z</dcterms:created>
  <dcterms:modified xsi:type="dcterms:W3CDTF">2026-01-26T13:24:00Z</dcterms:modified>
</cp:coreProperties>
</file>