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E715A" w14:textId="77777777" w:rsidR="009D0D4B" w:rsidRPr="008D59B4" w:rsidRDefault="009D0D4B" w:rsidP="009D0D4B">
      <w:pPr>
        <w:pStyle w:val="21"/>
        <w:spacing w:before="0"/>
        <w:rPr>
          <w:rFonts w:ascii="Bodoni MT" w:hAnsi="Bodoni MT" w:cstheme="majorHAnsi"/>
          <w:sz w:val="36"/>
          <w:szCs w:val="36"/>
          <w:lang w:val="uk-UA"/>
        </w:rPr>
      </w:pPr>
      <w:bookmarkStart w:id="0" w:name="_GoBack"/>
      <w:bookmarkEnd w:id="0"/>
      <w:r w:rsidRPr="008D59B4">
        <w:rPr>
          <w:rFonts w:ascii="Cambria" w:hAnsi="Cambria" w:cs="Cambria"/>
          <w:sz w:val="36"/>
          <w:szCs w:val="36"/>
          <w:lang w:val="uk-UA"/>
        </w:rPr>
        <w:t>Від</w:t>
      </w:r>
      <w:r w:rsidRPr="008D59B4">
        <w:rPr>
          <w:rFonts w:ascii="Bodoni MT" w:hAnsi="Bodoni MT" w:cstheme="majorHAnsi"/>
          <w:sz w:val="36"/>
          <w:szCs w:val="36"/>
          <w:lang w:val="uk-UA"/>
        </w:rPr>
        <w:t xml:space="preserve"> </w:t>
      </w:r>
      <w:r w:rsidRPr="008D59B4">
        <w:rPr>
          <w:rFonts w:ascii="Cambria" w:hAnsi="Cambria" w:cs="Cambria"/>
          <w:sz w:val="36"/>
          <w:szCs w:val="36"/>
          <w:lang w:val="uk-UA"/>
        </w:rPr>
        <w:t>редактора</w:t>
      </w:r>
    </w:p>
    <w:p w14:paraId="5B6CE311" w14:textId="61F9A2FB" w:rsidR="00DF2AF2" w:rsidRPr="008D59B4" w:rsidRDefault="00DF2AF2"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Відповіді на випуск № 3 </w:t>
      </w:r>
      <w:r w:rsidR="002377BF" w:rsidRPr="008D59B4">
        <w:rPr>
          <w:rFonts w:ascii="Book Antiqua" w:hAnsi="Book Antiqua" w:cstheme="majorHAnsi"/>
          <w:sz w:val="20"/>
          <w:szCs w:val="20"/>
          <w:lang w:val="uk-UA"/>
        </w:rPr>
        <w:t xml:space="preserve">Інвестиційного бюлетеня США — Україна </w:t>
      </w:r>
      <w:r w:rsidRPr="008D59B4">
        <w:rPr>
          <w:rFonts w:ascii="Book Antiqua" w:hAnsi="Book Antiqua" w:cstheme="majorHAnsi"/>
          <w:sz w:val="20"/>
          <w:szCs w:val="20"/>
          <w:lang w:val="uk-UA"/>
        </w:rPr>
        <w:t xml:space="preserve">від членів Асоціації, схоже, набрали обертів серед регіональних членів і Правління. Як і питання, подані раніше, нові питання </w:t>
      </w:r>
      <w:r w:rsidR="0067726D" w:rsidRPr="0067726D">
        <w:rPr>
          <w:rFonts w:ascii="Book Antiqua" w:hAnsi="Book Antiqua" w:cstheme="majorHAnsi"/>
          <w:sz w:val="20"/>
          <w:szCs w:val="20"/>
          <w:lang w:val="uk-UA"/>
        </w:rPr>
        <w:t>засвідчують ретельне врахування контексту та точність формулювань</w:t>
      </w:r>
      <w:r w:rsidRPr="008D59B4">
        <w:rPr>
          <w:rFonts w:ascii="Book Antiqua" w:hAnsi="Book Antiqua" w:cstheme="majorHAnsi"/>
          <w:sz w:val="20"/>
          <w:szCs w:val="20"/>
          <w:lang w:val="uk-UA"/>
        </w:rPr>
        <w:t>. Респонденти й надалі просять більшого ступеня конкретизації в наших відповідях.</w:t>
      </w:r>
    </w:p>
    <w:p w14:paraId="7B4FFD28" w14:textId="77777777" w:rsidR="00DF2AF2" w:rsidRPr="008D59B4" w:rsidRDefault="00DF2AF2" w:rsidP="00DF2AF2">
      <w:pPr>
        <w:spacing w:before="120"/>
        <w:contextualSpacing/>
        <w:rPr>
          <w:rFonts w:ascii="Book Antiqua" w:hAnsi="Book Antiqua" w:cstheme="majorHAnsi"/>
          <w:sz w:val="20"/>
          <w:szCs w:val="20"/>
          <w:lang w:val="uk-UA"/>
        </w:rPr>
      </w:pPr>
    </w:p>
    <w:p w14:paraId="46AFDCA5" w14:textId="42C270FE" w:rsidR="00DF2AF2" w:rsidRPr="008D59B4" w:rsidRDefault="00DF2AF2"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З цієї причини ми зосередимо цей випуск Бюлетеня, а можливо, і один або кілька наступних випусків, на основах укладання міжнародних угод. </w:t>
      </w:r>
      <w:r w:rsidR="002377BF" w:rsidRPr="008D59B4">
        <w:rPr>
          <w:rFonts w:ascii="Book Antiqua" w:hAnsi="Book Antiqua" w:cstheme="majorHAnsi"/>
          <w:sz w:val="20"/>
          <w:szCs w:val="20"/>
          <w:lang w:val="uk-UA"/>
        </w:rPr>
        <w:t>У зв’язку з цим ми сподіваємося, що інформація, якою ми ділимося, проллє світло на оцінку вартості та інші пов’язані з нею, але відмінні та незалежні види діяльності у процесі сприяння інвестиціям</w:t>
      </w:r>
      <w:r w:rsidRPr="008D59B4">
        <w:rPr>
          <w:rFonts w:ascii="Book Antiqua" w:hAnsi="Book Antiqua" w:cstheme="majorHAnsi"/>
          <w:sz w:val="20"/>
          <w:szCs w:val="20"/>
          <w:lang w:val="uk-UA"/>
        </w:rPr>
        <w:t>.</w:t>
      </w:r>
    </w:p>
    <w:p w14:paraId="63B07C2F" w14:textId="77777777" w:rsidR="00DF2AF2" w:rsidRPr="008D59B4" w:rsidRDefault="00DF2AF2" w:rsidP="00DF2AF2">
      <w:pPr>
        <w:spacing w:before="120"/>
        <w:contextualSpacing/>
        <w:rPr>
          <w:rFonts w:ascii="Book Antiqua" w:hAnsi="Book Antiqua" w:cstheme="majorHAnsi"/>
          <w:sz w:val="20"/>
          <w:szCs w:val="20"/>
          <w:lang w:val="uk-UA"/>
        </w:rPr>
      </w:pPr>
    </w:p>
    <w:p w14:paraId="0498F38A" w14:textId="5A43689E" w:rsidR="00DF2AF2" w:rsidRPr="008D59B4" w:rsidRDefault="00DF2AF2"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У цьому вступі ми знову наголошуємо на певних постулатах. Конкретна інформація, особливо у питаннях фінансових інвестицій, за своєю природою залежить від часу, умов і ситуації. Динаміка численних факторів відіграє критично важливу роль. Коливання поведінки фінансових ринків, зміни в макроекономічних умовах окремих країн і світу, перебудова мікроекономічних структур локальних і глобальних галузей, зрушення у світовому порядку та в локальному політичному кліматі, перегляд правових кодексів і регуляторного середовища, </w:t>
      </w:r>
      <w:r w:rsidR="008D59B4" w:rsidRPr="008D59B4">
        <w:rPr>
          <w:rFonts w:ascii="Book Antiqua" w:hAnsi="Book Antiqua" w:cstheme="majorHAnsi"/>
          <w:sz w:val="20"/>
          <w:szCs w:val="20"/>
          <w:lang w:val="uk-UA"/>
        </w:rPr>
        <w:t>перегляд інвесторами своїх уявлень про ризики</w:t>
      </w:r>
      <w:r w:rsidRPr="008D59B4">
        <w:rPr>
          <w:rFonts w:ascii="Book Antiqua" w:hAnsi="Book Antiqua" w:cstheme="majorHAnsi"/>
          <w:sz w:val="20"/>
          <w:szCs w:val="20"/>
          <w:lang w:val="uk-UA"/>
        </w:rPr>
        <w:t>, пріоритетів і настроїв — усі ці екзогенні фактори мають фундаментальний, прив’язаний до конкретного часу, вплив на інвестиційні уподобання та оцінку вартості.</w:t>
      </w:r>
    </w:p>
    <w:p w14:paraId="7AC3AE26" w14:textId="77777777" w:rsidR="00DF2AF2" w:rsidRPr="008D59B4" w:rsidRDefault="00DF2AF2" w:rsidP="00DF2AF2">
      <w:pPr>
        <w:spacing w:before="120"/>
        <w:contextualSpacing/>
        <w:rPr>
          <w:rFonts w:ascii="Book Antiqua" w:hAnsi="Book Antiqua" w:cstheme="majorHAnsi"/>
          <w:sz w:val="20"/>
          <w:szCs w:val="20"/>
          <w:lang w:val="uk-UA"/>
        </w:rPr>
      </w:pPr>
    </w:p>
    <w:p w14:paraId="3FFCF0C6" w14:textId="1A010EC7" w:rsidR="00DF2AF2" w:rsidRPr="008D59B4" w:rsidRDefault="00DF2AF2"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Однак це не є повним комплексом фактів, які мають часово зумовлений вплив на оцінку вартості та доступність капіталу. Безліч ендогенних факторів </w:t>
      </w:r>
      <w:r w:rsidR="00631F8C" w:rsidRPr="00631F8C">
        <w:rPr>
          <w:rFonts w:ascii="Book Antiqua" w:hAnsi="Book Antiqua" w:cstheme="majorHAnsi"/>
          <w:sz w:val="20"/>
          <w:szCs w:val="20"/>
          <w:lang w:val="uk-UA"/>
        </w:rPr>
        <w:t>також мають істотний часово зумовлений вплив на вартість</w:t>
      </w:r>
      <w:r w:rsidRPr="008D59B4">
        <w:rPr>
          <w:rFonts w:ascii="Book Antiqua" w:hAnsi="Book Antiqua" w:cstheme="majorHAnsi"/>
          <w:sz w:val="20"/>
          <w:szCs w:val="20"/>
          <w:lang w:val="uk-UA"/>
        </w:rPr>
        <w:t xml:space="preserve">, а також на умови й положення іноземних інвестицій. Серед них — фінансовий стан і фінансові перспективи компаній, досвід менеджменту, портфель нових продуктів, інтелектуальна власність, виробничі потужності, кваліфікація робочої сили тощо. Відповідно, </w:t>
      </w:r>
      <w:r w:rsidR="0067726D" w:rsidRPr="0067726D">
        <w:rPr>
          <w:rFonts w:ascii="Book Antiqua" w:hAnsi="Book Antiqua" w:cstheme="majorHAnsi"/>
          <w:sz w:val="20"/>
          <w:szCs w:val="20"/>
          <w:lang w:val="uk-UA"/>
        </w:rPr>
        <w:t>недоцільно</w:t>
      </w:r>
      <w:r w:rsidRPr="008D59B4">
        <w:rPr>
          <w:rFonts w:ascii="Book Antiqua" w:hAnsi="Book Antiqua" w:cstheme="majorHAnsi"/>
          <w:sz w:val="20"/>
          <w:szCs w:val="20"/>
          <w:lang w:val="uk-UA"/>
        </w:rPr>
        <w:t xml:space="preserve"> говорити про конкретику без будь-яких конкретних даних, з одного боку, і без будь-якого конкретного фінансового аналізу всіх релевантних фактів — з іншого. За їх відсутності будь-яка конкретизація, найімовірніше, вводитиме в оману і не принесе користі ані членам Асоціації, ані потенційним інвесторам.</w:t>
      </w:r>
    </w:p>
    <w:p w14:paraId="65ADB744" w14:textId="77777777" w:rsidR="00DF2AF2" w:rsidRPr="008D59B4" w:rsidRDefault="00DF2AF2" w:rsidP="00DF2AF2">
      <w:pPr>
        <w:spacing w:before="120"/>
        <w:contextualSpacing/>
        <w:rPr>
          <w:rFonts w:ascii="Book Antiqua" w:hAnsi="Book Antiqua" w:cstheme="majorHAnsi"/>
          <w:sz w:val="20"/>
          <w:szCs w:val="20"/>
          <w:lang w:val="uk-UA"/>
        </w:rPr>
      </w:pPr>
    </w:p>
    <w:p w14:paraId="57E8F481" w14:textId="77777777" w:rsidR="00DF2AF2" w:rsidRPr="008D59B4" w:rsidRDefault="00DF2AF2"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Більше того, як зазначалося раніше, розкриття навіть приблизної вартості поза контекстом суворо визначеного завдання з оцінки є не просто необачним, а часто й неприпустимим згідно зі стандартами етичної практики практично всіх професійних організацій, які сертифікують експертів з оцінки. Так само етично неприпустимо, щоб експерт з оцінки приймав будь-яке завдання, за яким його винагорода будь-яким способом залежить від результатів, пов’язаних з оцінкою. Засвідчення висновку про вартість, за який він отримує оплату у формі частки в об’єкті завдання з оцінки, є підставою для анулювання сертифікації експерта і може призвести до юридичної відповідальності. У майбутніх випусках Бюлетеня ми детальніше розглянемо етичні стандарти американських організацій з оцінки та обговоримо світове визнання сертифікованих оцінок, виконаних американськими експертами, як справді неупереджених і незалежних висновків про вартість.</w:t>
      </w:r>
    </w:p>
    <w:p w14:paraId="19016408" w14:textId="77777777" w:rsidR="00DF2AF2" w:rsidRPr="008D59B4" w:rsidRDefault="00DF2AF2" w:rsidP="00DF2AF2">
      <w:pPr>
        <w:spacing w:before="120"/>
        <w:contextualSpacing/>
        <w:rPr>
          <w:rFonts w:ascii="Book Antiqua" w:hAnsi="Book Antiqua" w:cstheme="majorHAnsi"/>
          <w:sz w:val="20"/>
          <w:szCs w:val="20"/>
          <w:lang w:val="uk-UA"/>
        </w:rPr>
      </w:pPr>
    </w:p>
    <w:p w14:paraId="4797A2AC" w14:textId="4671DB93" w:rsidR="002D709A" w:rsidRPr="008D59B4" w:rsidRDefault="009D0D4B" w:rsidP="00DF2AF2">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lastRenderedPageBreak/>
        <w:t xml:space="preserve">Майкл А. Шварцман </w:t>
      </w:r>
    </w:p>
    <w:p w14:paraId="3BC5C599" w14:textId="77777777" w:rsidR="002D709A" w:rsidRPr="008D59B4" w:rsidRDefault="009D0D4B" w:rsidP="009D0D4B">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Радник Президента Асоціації платників податків України, </w:t>
      </w:r>
    </w:p>
    <w:p w14:paraId="112AF5ED" w14:textId="1F488291" w:rsidR="009D0D4B" w:rsidRPr="008D59B4" w:rsidRDefault="009D0D4B" w:rsidP="009D0D4B">
      <w:pPr>
        <w:spacing w:before="120"/>
        <w:contextualSpacing/>
        <w:rPr>
          <w:rFonts w:ascii="Book Antiqua" w:hAnsi="Book Antiqua" w:cstheme="majorHAnsi"/>
          <w:sz w:val="20"/>
          <w:szCs w:val="20"/>
          <w:lang w:val="uk-UA"/>
        </w:rPr>
      </w:pPr>
      <w:r w:rsidRPr="008D59B4">
        <w:rPr>
          <w:rFonts w:ascii="Book Antiqua" w:hAnsi="Book Antiqua" w:cstheme="majorHAnsi"/>
          <w:sz w:val="20"/>
          <w:szCs w:val="20"/>
          <w:lang w:val="uk-UA"/>
        </w:rPr>
        <w:t xml:space="preserve">Президент American Business Valuation Group </w:t>
      </w:r>
    </w:p>
    <w:p w14:paraId="3E0D1038" w14:textId="77777777" w:rsidR="002D709A" w:rsidRPr="008D59B4" w:rsidRDefault="002D709A" w:rsidP="009D0D4B">
      <w:pPr>
        <w:spacing w:before="120"/>
        <w:contextualSpacing/>
        <w:rPr>
          <w:rFonts w:ascii="Book Antiqua" w:hAnsi="Book Antiqua" w:cstheme="majorHAnsi"/>
          <w:sz w:val="20"/>
          <w:szCs w:val="20"/>
          <w:lang w:val="uk-UA"/>
        </w:rPr>
      </w:pPr>
    </w:p>
    <w:p w14:paraId="15024C81" w14:textId="4602881D" w:rsidR="009D0D4B" w:rsidRPr="008D59B4" w:rsidRDefault="009D0D4B" w:rsidP="00DF2AF2">
      <w:pPr>
        <w:pStyle w:val="21"/>
        <w:jc w:val="center"/>
        <w:rPr>
          <w:rFonts w:ascii="Bodoni MT" w:hAnsi="Bodoni MT" w:cstheme="majorHAnsi"/>
          <w:caps/>
          <w:sz w:val="36"/>
          <w:szCs w:val="36"/>
          <w:lang w:val="uk-UA"/>
        </w:rPr>
      </w:pPr>
      <w:r w:rsidRPr="008D59B4">
        <w:rPr>
          <w:rFonts w:ascii="Cambria" w:hAnsi="Cambria" w:cs="Cambria"/>
          <w:caps/>
          <w:sz w:val="36"/>
          <w:szCs w:val="36"/>
          <w:lang w:val="uk-UA"/>
        </w:rPr>
        <w:t>Запитання</w:t>
      </w:r>
      <w:r w:rsidRPr="008D59B4">
        <w:rPr>
          <w:rFonts w:ascii="Bodoni MT" w:hAnsi="Bodoni MT" w:cstheme="majorHAnsi"/>
          <w:caps/>
          <w:sz w:val="36"/>
          <w:szCs w:val="36"/>
          <w:lang w:val="uk-UA"/>
        </w:rPr>
        <w:t xml:space="preserve"> </w:t>
      </w:r>
      <w:r w:rsidRPr="008D59B4">
        <w:rPr>
          <w:rFonts w:ascii="Cambria" w:hAnsi="Cambria" w:cs="Cambria"/>
          <w:caps/>
          <w:sz w:val="36"/>
          <w:szCs w:val="36"/>
          <w:lang w:val="uk-UA"/>
        </w:rPr>
        <w:t>та</w:t>
      </w:r>
      <w:r w:rsidRPr="008D59B4">
        <w:rPr>
          <w:rFonts w:ascii="Bodoni MT" w:hAnsi="Bodoni MT" w:cstheme="majorHAnsi"/>
          <w:caps/>
          <w:sz w:val="36"/>
          <w:szCs w:val="36"/>
          <w:lang w:val="uk-UA"/>
        </w:rPr>
        <w:t xml:space="preserve"> </w:t>
      </w:r>
      <w:r w:rsidRPr="008D59B4">
        <w:rPr>
          <w:rFonts w:ascii="Cambria" w:hAnsi="Cambria" w:cs="Cambria"/>
          <w:caps/>
          <w:sz w:val="36"/>
          <w:szCs w:val="36"/>
          <w:lang w:val="uk-UA"/>
        </w:rPr>
        <w:t>відповіді</w:t>
      </w:r>
    </w:p>
    <w:p w14:paraId="143D9C79" w14:textId="51DB6AC3" w:rsidR="009D0D4B" w:rsidRPr="008D59B4" w:rsidRDefault="0017254B" w:rsidP="009D0D4B">
      <w:pPr>
        <w:shd w:val="clear" w:color="auto" w:fill="BFBFBF" w:themeFill="background1" w:themeFillShade="BF"/>
        <w:rPr>
          <w:rFonts w:ascii="Book Antiqua" w:hAnsi="Book Antiqua" w:cstheme="majorHAnsi"/>
          <w:b/>
          <w:bCs/>
          <w:i/>
          <w:iCs/>
          <w:sz w:val="20"/>
          <w:szCs w:val="20"/>
          <w:lang w:val="uk-UA"/>
        </w:rPr>
      </w:pPr>
      <w:r w:rsidRPr="008D59B4">
        <w:rPr>
          <w:rFonts w:ascii="Book Antiqua" w:hAnsi="Book Antiqua" w:cstheme="majorHAnsi"/>
          <w:b/>
          <w:bCs/>
          <w:i/>
          <w:iCs/>
          <w:sz w:val="20"/>
          <w:szCs w:val="20"/>
          <w:lang w:val="uk-UA"/>
        </w:rPr>
        <w:t>Які умови та положення для американських інвесторів?</w:t>
      </w:r>
    </w:p>
    <w:p w14:paraId="0FAC5697" w14:textId="18A1D43A"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На підставі типів запитань, отриманих від нашої аудиторії, ми дійшли висновку, що багато респондентів не до кінця чітко розуміють, які саме типові дії та які саме типові учасники залучаються до </w:t>
      </w:r>
      <w:r w:rsidR="00881EB6" w:rsidRPr="00881EB6">
        <w:rPr>
          <w:rFonts w:ascii="Book Antiqua" w:hAnsi="Book Antiqua" w:cstheme="majorHAnsi"/>
          <w:sz w:val="20"/>
          <w:szCs w:val="20"/>
          <w:lang w:val="uk-UA"/>
        </w:rPr>
        <w:t>уклад</w:t>
      </w:r>
      <w:r w:rsidR="002A45AB">
        <w:rPr>
          <w:rFonts w:ascii="Book Antiqua" w:hAnsi="Book Antiqua" w:cstheme="majorHAnsi"/>
          <w:sz w:val="20"/>
          <w:szCs w:val="20"/>
          <w:lang w:val="uk-UA"/>
        </w:rPr>
        <w:t>а</w:t>
      </w:r>
      <w:r w:rsidR="00881EB6" w:rsidRPr="00881EB6">
        <w:rPr>
          <w:rFonts w:ascii="Book Antiqua" w:hAnsi="Book Antiqua" w:cstheme="majorHAnsi"/>
          <w:sz w:val="20"/>
          <w:szCs w:val="20"/>
          <w:lang w:val="uk-UA"/>
        </w:rPr>
        <w:t>ння</w:t>
      </w:r>
      <w:r w:rsidRPr="008D59B4">
        <w:rPr>
          <w:rFonts w:ascii="Book Antiqua" w:hAnsi="Book Antiqua" w:cstheme="majorHAnsi"/>
          <w:sz w:val="20"/>
          <w:szCs w:val="20"/>
          <w:lang w:val="uk-UA"/>
        </w:rPr>
        <w:t xml:space="preserve"> міжнародних інвестиційних угод. Це цілком зрозуміло. Більшість платників податків, які є власниками своїх компаній, створювали такі фірми з нуля. Більшість менеджерів, яких такі власники наймають для управління операційною діяльністю цих компаній, імовірно, не мають досвіду купівлі чи продажу компаній або інвестування в підприємства інших осіб. Ми знаємо, що це відповідає дійсності у Сполучених Штатах. І вважаємо, що так само </w:t>
      </w:r>
      <w:r w:rsidR="0017254B" w:rsidRPr="008D59B4">
        <w:rPr>
          <w:rFonts w:ascii="Book Antiqua" w:hAnsi="Book Antiqua" w:cstheme="majorHAnsi"/>
          <w:sz w:val="20"/>
          <w:szCs w:val="20"/>
          <w:lang w:val="uk-UA"/>
        </w:rPr>
        <w:t>відбувається</w:t>
      </w:r>
      <w:r w:rsidRPr="008D59B4">
        <w:rPr>
          <w:rFonts w:ascii="Book Antiqua" w:hAnsi="Book Antiqua" w:cstheme="majorHAnsi"/>
          <w:sz w:val="20"/>
          <w:szCs w:val="20"/>
          <w:lang w:val="uk-UA"/>
        </w:rPr>
        <w:t xml:space="preserve"> і в Україні.</w:t>
      </w:r>
    </w:p>
    <w:p w14:paraId="68740137" w14:textId="4FD56FB4"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З цих причин ми розпочинаємо нову серію оглядів, присвячених критично важливим видам діяльності та учасникам процесу залучення і забезпечення міжнародних інвестицій. Ці огляди дадуть відповіді на багато запитань, які хвилюють членів Асоціації.</w:t>
      </w:r>
    </w:p>
    <w:p w14:paraId="7B2281AC" w14:textId="7AD91134"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Спершу розгляньмо типове занепокоєння багатьох респондентів: </w:t>
      </w:r>
      <w:r w:rsidR="00881EB6" w:rsidRPr="00881EB6">
        <w:rPr>
          <w:rFonts w:ascii="Book Antiqua" w:hAnsi="Book Antiqua" w:cstheme="majorHAnsi"/>
          <w:sz w:val="20"/>
          <w:szCs w:val="20"/>
          <w:lang w:val="uk-UA"/>
        </w:rPr>
        <w:t>чого саме американський інвестор очікував би в обмін на вкладення своїх коштів</w:t>
      </w:r>
      <w:r w:rsidRPr="008D59B4">
        <w:rPr>
          <w:rFonts w:ascii="Book Antiqua" w:hAnsi="Book Antiqua" w:cstheme="majorHAnsi"/>
          <w:sz w:val="20"/>
          <w:szCs w:val="20"/>
          <w:lang w:val="uk-UA"/>
        </w:rPr>
        <w:t xml:space="preserve"> в українську компанію? Але ще до відповіді на це запитання обговорімо, компанію якого розміру в Україні американський інвестор взагалі розглядав би як об’єкт для вкладення своїх коштів.</w:t>
      </w:r>
    </w:p>
    <w:p w14:paraId="1EB656F8" w14:textId="412DA51F"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Щоб відповісти на це запитання, припустімо, що «середній» інвестор має порівняно скромний інвестиційний </w:t>
      </w:r>
      <w:r w:rsidR="00A21D06">
        <w:rPr>
          <w:rFonts w:ascii="Book Antiqua" w:hAnsi="Book Antiqua" w:cstheme="majorHAnsi"/>
          <w:sz w:val="20"/>
          <w:szCs w:val="20"/>
          <w:lang w:val="uk-UA"/>
        </w:rPr>
        <w:t>фонд</w:t>
      </w:r>
      <w:r w:rsidRPr="008D59B4">
        <w:rPr>
          <w:rFonts w:ascii="Book Antiqua" w:hAnsi="Book Antiqua" w:cstheme="majorHAnsi"/>
          <w:sz w:val="20"/>
          <w:szCs w:val="20"/>
          <w:lang w:val="uk-UA"/>
        </w:rPr>
        <w:t xml:space="preserve"> у розмірі, скажімо, 3 млн доларів США. Насправді ж інвестор, який має у розпорядженні капітал у 3 млн доларів США, ймовірно, матиме лише 2,5 млн доларів США грошових коштів для інвестування в українську компанію. Це пояснюється тим, що інвестор, найімовірніше, закладе до бюджету близько 0,5 млн доларів США на оплату радників, юристів, фахівців із розвитку бізнесу, а також інших спеціалістів у сфері фінансів, бухгалтерського обліку та оподаткування, які допомагатимуть йому з інвестуванням в Україну. Отже, компанія якого розміру була б привабливою для американця, який має 2,5 млн доларів США чистих інвестиційних коштів?</w:t>
      </w:r>
    </w:p>
    <w:p w14:paraId="47370767" w14:textId="154C481D"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Єдина відповідь, яку можна дати на це запитання: «Це залежить». Не існує арифметичного правила, за яким 2,5 млн доларів США можуть забезпечити придбання певного відсотка, x%, участі у власному капіталі компанії, чия вартість підприємства становить </w:t>
      </w:r>
      <m:oMath>
        <m:f>
          <m:fPr>
            <m:ctrlPr>
              <w:rPr>
                <w:rFonts w:ascii="Cambria Math" w:hAnsi="Cambria Math" w:cstheme="majorHAnsi"/>
                <w:i/>
                <w:sz w:val="20"/>
                <w:szCs w:val="20"/>
                <w:lang w:val="uk-UA"/>
              </w:rPr>
            </m:ctrlPr>
          </m:fPr>
          <m:num>
            <m:r>
              <w:rPr>
                <w:rFonts w:ascii="Cambria Math" w:hAnsi="Cambria Math" w:cstheme="majorHAnsi"/>
                <w:sz w:val="20"/>
                <w:szCs w:val="20"/>
                <w:lang w:val="uk-UA"/>
              </w:rPr>
              <m:t>2.5</m:t>
            </m:r>
          </m:num>
          <m:den>
            <m:r>
              <w:rPr>
                <w:rFonts w:ascii="Cambria Math" w:hAnsi="Cambria Math" w:cstheme="majorHAnsi"/>
                <w:sz w:val="20"/>
                <w:szCs w:val="20"/>
                <w:lang w:val="uk-UA"/>
              </w:rPr>
              <m:t>x</m:t>
            </m:r>
          </m:den>
        </m:f>
        <m:r>
          <w:rPr>
            <w:rFonts w:ascii="Cambria Math" w:hAnsi="Cambria Math" w:cstheme="majorHAnsi"/>
            <w:sz w:val="20"/>
            <w:szCs w:val="20"/>
            <w:lang w:val="uk-UA"/>
          </w:rPr>
          <m:t>×100</m:t>
        </m:r>
      </m:oMath>
      <w:r w:rsidR="00BE7CFD" w:rsidRPr="008D59B4">
        <w:rPr>
          <w:rFonts w:ascii="Book Antiqua" w:hAnsi="Book Antiqua" w:cstheme="majorHAnsi"/>
          <w:sz w:val="20"/>
          <w:szCs w:val="20"/>
          <w:lang w:val="uk-UA"/>
        </w:rPr>
        <w:t xml:space="preserve"> </w:t>
      </w:r>
      <w:r w:rsidRPr="008D59B4">
        <w:rPr>
          <w:rFonts w:ascii="Book Antiqua" w:hAnsi="Book Antiqua" w:cstheme="majorHAnsi"/>
          <w:sz w:val="20"/>
          <w:szCs w:val="20"/>
          <w:lang w:val="uk-UA"/>
        </w:rPr>
        <w:t xml:space="preserve">млн доларів США. </w:t>
      </w:r>
      <w:r w:rsidR="00BE7CFD" w:rsidRPr="008D59B4">
        <w:rPr>
          <w:rFonts w:ascii="Book Antiqua" w:hAnsi="Book Antiqua" w:cstheme="majorHAnsi"/>
          <w:sz w:val="20"/>
          <w:szCs w:val="20"/>
          <w:lang w:val="uk-UA"/>
        </w:rPr>
        <w:t xml:space="preserve">Єдина прогнозована визначеність, яка тут можлива, полягає в тому, що взагалі </w:t>
      </w:r>
      <w:r w:rsidR="00BE7CFD" w:rsidRPr="008D59B4">
        <w:rPr>
          <w:rFonts w:ascii="Book Antiqua" w:hAnsi="Book Antiqua" w:cstheme="majorHAnsi"/>
          <w:b/>
          <w:bCs/>
          <w:sz w:val="20"/>
          <w:szCs w:val="20"/>
          <w:lang w:val="uk-UA"/>
        </w:rPr>
        <w:t>НЕМАЄ</w:t>
      </w:r>
      <w:r w:rsidR="00BE7CFD" w:rsidRPr="008D59B4">
        <w:rPr>
          <w:rFonts w:ascii="Book Antiqua" w:hAnsi="Book Antiqua" w:cstheme="majorHAnsi"/>
          <w:sz w:val="20"/>
          <w:szCs w:val="20"/>
          <w:lang w:val="uk-UA"/>
        </w:rPr>
        <w:t xml:space="preserve"> жодної визначеності щодо того, компанія якого розміру зможе залучити інвестицію в 2,5 млн доларів США. </w:t>
      </w:r>
      <w:r w:rsidRPr="008D59B4">
        <w:rPr>
          <w:rFonts w:ascii="Book Antiqua" w:hAnsi="Book Antiqua" w:cstheme="majorHAnsi"/>
          <w:sz w:val="20"/>
          <w:szCs w:val="20"/>
          <w:lang w:val="uk-UA"/>
        </w:rPr>
        <w:t xml:space="preserve">Індивідуальні переваги інвестора щодо типів інвестицій, його </w:t>
      </w:r>
      <w:r w:rsidR="00881EB6" w:rsidRPr="00881EB6">
        <w:rPr>
          <w:rFonts w:ascii="Book Antiqua" w:hAnsi="Book Antiqua" w:cstheme="majorHAnsi"/>
          <w:sz w:val="20"/>
          <w:szCs w:val="20"/>
          <w:lang w:val="uk-UA"/>
        </w:rPr>
        <w:t>схильність до уникнення ризику</w:t>
      </w:r>
      <w:r w:rsidRPr="008D59B4">
        <w:rPr>
          <w:rFonts w:ascii="Book Antiqua" w:hAnsi="Book Antiqua" w:cstheme="majorHAnsi"/>
          <w:sz w:val="20"/>
          <w:szCs w:val="20"/>
          <w:lang w:val="uk-UA"/>
        </w:rPr>
        <w:t xml:space="preserve">, його індивідуальні очікування прибутковості, його оцінка безпеки вкладеного капіталу, його оцінка ліквідності та ринкової </w:t>
      </w:r>
      <w:r w:rsidRPr="008D59B4">
        <w:rPr>
          <w:rFonts w:ascii="Book Antiqua" w:hAnsi="Book Antiqua" w:cstheme="majorHAnsi"/>
          <w:sz w:val="20"/>
          <w:szCs w:val="20"/>
          <w:lang w:val="uk-UA"/>
        </w:rPr>
        <w:lastRenderedPageBreak/>
        <w:t xml:space="preserve">привабливості інвестиції, його особисте судження щодо правових обмежень на репатріацію дивідендів і капіталу, а також багато-багато інших ендогенних і екзогенних факторів впливають на рішення інвестора про те, </w:t>
      </w:r>
      <w:r w:rsidR="00881EB6" w:rsidRPr="00881EB6">
        <w:rPr>
          <w:rFonts w:ascii="Book Antiqua" w:hAnsi="Book Antiqua" w:cstheme="majorHAnsi"/>
          <w:sz w:val="20"/>
          <w:szCs w:val="20"/>
          <w:lang w:val="uk-UA"/>
        </w:rPr>
        <w:t>чи є певна компанія вартою його інвестицій</w:t>
      </w:r>
      <w:r w:rsidRPr="008D59B4">
        <w:rPr>
          <w:rFonts w:ascii="Book Antiqua" w:hAnsi="Book Antiqua" w:cstheme="majorHAnsi"/>
          <w:sz w:val="20"/>
          <w:szCs w:val="20"/>
          <w:lang w:val="uk-UA"/>
        </w:rPr>
        <w:t>.</w:t>
      </w:r>
    </w:p>
    <w:p w14:paraId="68EF0C87" w14:textId="49FB9B86"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З огляду на все сказане, ми можемо лише оцінити, що за інших відносно нейтральних умов скромний типовий інвестор шукатиме цільову компанію, чия </w:t>
      </w:r>
      <w:r w:rsidR="00881EB6" w:rsidRPr="00881EB6">
        <w:rPr>
          <w:rFonts w:ascii="Book Antiqua" w:hAnsi="Book Antiqua" w:cstheme="majorHAnsi"/>
          <w:sz w:val="20"/>
          <w:szCs w:val="20"/>
          <w:lang w:val="uk-UA"/>
        </w:rPr>
        <w:t>доінвестиційна оцінка вартості підприємства</w:t>
      </w:r>
      <w:r w:rsidR="00881EB6">
        <w:rPr>
          <w:rFonts w:ascii="Book Antiqua" w:hAnsi="Book Antiqua" w:cstheme="majorHAnsi"/>
          <w:sz w:val="20"/>
          <w:szCs w:val="20"/>
          <w:lang w:val="uk-UA"/>
        </w:rPr>
        <w:t xml:space="preserve"> </w:t>
      </w:r>
      <w:r w:rsidRPr="008D59B4">
        <w:rPr>
          <w:rFonts w:ascii="Book Antiqua" w:hAnsi="Book Antiqua" w:cstheme="majorHAnsi"/>
          <w:sz w:val="20"/>
          <w:szCs w:val="20"/>
          <w:lang w:val="uk-UA"/>
        </w:rPr>
        <w:t xml:space="preserve">може </w:t>
      </w:r>
      <w:r w:rsidR="002A45AB" w:rsidRPr="002A45AB">
        <w:rPr>
          <w:rFonts w:ascii="Book Antiqua" w:hAnsi="Book Antiqua" w:cstheme="majorHAnsi"/>
          <w:sz w:val="20"/>
          <w:szCs w:val="20"/>
          <w:lang w:val="uk-UA"/>
        </w:rPr>
        <w:t>становити</w:t>
      </w:r>
      <w:r w:rsidR="002A45AB">
        <w:rPr>
          <w:rFonts w:ascii="Book Antiqua" w:hAnsi="Book Antiqua" w:cstheme="majorHAnsi"/>
          <w:sz w:val="20"/>
          <w:szCs w:val="20"/>
          <w:lang w:val="uk-UA"/>
        </w:rPr>
        <w:t xml:space="preserve"> </w:t>
      </w:r>
      <w:r w:rsidRPr="008D59B4">
        <w:rPr>
          <w:rFonts w:ascii="Book Antiqua" w:hAnsi="Book Antiqua" w:cstheme="majorHAnsi"/>
          <w:sz w:val="20"/>
          <w:szCs w:val="20"/>
          <w:lang w:val="uk-UA"/>
        </w:rPr>
        <w:t>від 5 млн до 25 млн доларів США.</w:t>
      </w:r>
    </w:p>
    <w:p w14:paraId="36943349" w14:textId="53C83457"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Що інвестор хотів би отримати в обмін на свою інвестицію? Знову ж таки, відповіді залежать від конкретних уподобань конкретного інвестора. Ми можемо лише з високим ступенем імовірності стверджувати, що він хотів би отримати дуже </w:t>
      </w:r>
      <w:r w:rsidR="002A45AB" w:rsidRPr="002A45AB">
        <w:rPr>
          <w:rFonts w:ascii="Book Antiqua" w:hAnsi="Book Antiqua" w:cstheme="majorHAnsi"/>
          <w:sz w:val="20"/>
          <w:szCs w:val="20"/>
          <w:lang w:val="uk-UA"/>
        </w:rPr>
        <w:t>суттєву</w:t>
      </w:r>
      <w:r w:rsidRPr="008D59B4">
        <w:rPr>
          <w:rFonts w:ascii="Book Antiqua" w:hAnsi="Book Antiqua" w:cstheme="majorHAnsi"/>
          <w:sz w:val="20"/>
          <w:szCs w:val="20"/>
          <w:lang w:val="uk-UA"/>
        </w:rPr>
        <w:t xml:space="preserve"> компенсацію за </w:t>
      </w:r>
      <w:r w:rsidR="002A45AB">
        <w:rPr>
          <w:rFonts w:ascii="Book Antiqua" w:hAnsi="Book Antiqua" w:cstheme="majorHAnsi"/>
          <w:sz w:val="20"/>
          <w:szCs w:val="20"/>
          <w:lang w:val="uk-UA"/>
        </w:rPr>
        <w:t>надання</w:t>
      </w:r>
      <w:r w:rsidRPr="008D59B4">
        <w:rPr>
          <w:rFonts w:ascii="Book Antiqua" w:hAnsi="Book Antiqua" w:cstheme="majorHAnsi"/>
          <w:sz w:val="20"/>
          <w:szCs w:val="20"/>
          <w:lang w:val="uk-UA"/>
        </w:rPr>
        <w:t xml:space="preserve"> своїх грошових коштів і за прийняття на себе ризику та невизначеності, пов’язаних з інвестуванням в іноземну країну. У нашій практиці міжнародного укладання угод ми бачили, що американські інвестори вимагали більшу, ніж зазвичай, частку у звичайному акціонерному капіталі іноземної компанії (порівняно з вітчизняною компанією), ширші права голосу, антидилюційні застереження, </w:t>
      </w:r>
      <w:r w:rsidR="002A45AB" w:rsidRPr="002A45AB">
        <w:rPr>
          <w:rFonts w:ascii="Book Antiqua" w:hAnsi="Book Antiqua" w:cstheme="majorHAnsi"/>
          <w:sz w:val="20"/>
          <w:szCs w:val="20"/>
          <w:lang w:val="uk-UA"/>
        </w:rPr>
        <w:t>персональні акціонерні угоди</w:t>
      </w:r>
      <w:r w:rsidRPr="008D59B4">
        <w:rPr>
          <w:rFonts w:ascii="Book Antiqua" w:hAnsi="Book Antiqua" w:cstheme="majorHAnsi"/>
          <w:sz w:val="20"/>
          <w:szCs w:val="20"/>
          <w:lang w:val="uk-UA"/>
        </w:rPr>
        <w:t>, місця в раді директорів для себе та своїх фінансових чи юридичних радників, привілейований конвертований капітал із конкретними вимогами щодо дивідендів замість звичайного акціонерного капіталу та/або багато інших форм фінансової компенсації й юридичного захисту.</w:t>
      </w:r>
    </w:p>
    <w:p w14:paraId="4BF1C5C4" w14:textId="01675470" w:rsidR="00DF2AF2"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З огляду на щойно викладене, необхідно визнати два критично важливі факти щодо міжнародних інвестицій:</w:t>
      </w:r>
    </w:p>
    <w:p w14:paraId="0247CF9B" w14:textId="5D78E07C" w:rsidR="009A326D" w:rsidRPr="008D59B4" w:rsidRDefault="00DF2AF2" w:rsidP="00DF2AF2">
      <w:pPr>
        <w:pStyle w:val="ae"/>
        <w:numPr>
          <w:ilvl w:val="0"/>
          <w:numId w:val="13"/>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Не існує «стандартних» умов </w:t>
      </w:r>
      <w:r w:rsidR="002A45AB" w:rsidRPr="002A45AB">
        <w:rPr>
          <w:rFonts w:ascii="Book Antiqua" w:hAnsi="Book Antiqua" w:cstheme="majorHAnsi"/>
          <w:sz w:val="20"/>
          <w:szCs w:val="20"/>
          <w:lang w:val="uk-UA"/>
        </w:rPr>
        <w:t>та положень</w:t>
      </w:r>
      <w:r w:rsidR="002A45AB">
        <w:rPr>
          <w:rFonts w:ascii="Book Antiqua" w:hAnsi="Book Antiqua" w:cstheme="majorHAnsi"/>
          <w:sz w:val="20"/>
          <w:szCs w:val="20"/>
          <w:lang w:val="uk-UA"/>
        </w:rPr>
        <w:t xml:space="preserve"> </w:t>
      </w:r>
      <w:r w:rsidRPr="008D59B4">
        <w:rPr>
          <w:rFonts w:ascii="Book Antiqua" w:hAnsi="Book Antiqua" w:cstheme="majorHAnsi"/>
          <w:sz w:val="20"/>
          <w:szCs w:val="20"/>
          <w:lang w:val="uk-UA"/>
        </w:rPr>
        <w:t>інвестування в іноземні компанії; усе, і ми маємо на увазі абсолютно все (крім структур міжнародних контрактів), є предметом конкретних переговорів між компанією-реципієнтом інвестицій та інвестором за конкретних обставин і зовнішніх умов</w:t>
      </w:r>
      <w:r w:rsidR="00174751" w:rsidRPr="008D59B4">
        <w:rPr>
          <w:rFonts w:ascii="Book Antiqua" w:hAnsi="Book Antiqua" w:cstheme="majorHAnsi"/>
          <w:sz w:val="20"/>
          <w:szCs w:val="20"/>
          <w:lang w:val="uk-UA"/>
        </w:rPr>
        <w:t>;</w:t>
      </w:r>
    </w:p>
    <w:p w14:paraId="0AE298F9" w14:textId="77777777" w:rsidR="009A326D" w:rsidRPr="008D59B4" w:rsidRDefault="009A326D" w:rsidP="009A326D">
      <w:pPr>
        <w:pStyle w:val="ae"/>
        <w:spacing w:before="120" w:after="240"/>
        <w:rPr>
          <w:rFonts w:ascii="Book Antiqua" w:hAnsi="Book Antiqua" w:cstheme="majorHAnsi"/>
          <w:sz w:val="20"/>
          <w:szCs w:val="20"/>
          <w:lang w:val="uk-UA"/>
        </w:rPr>
      </w:pPr>
    </w:p>
    <w:p w14:paraId="68A1E372" w14:textId="39C6F731" w:rsidR="00DF2AF2" w:rsidRPr="008D59B4" w:rsidRDefault="00DF2AF2" w:rsidP="00DF2AF2">
      <w:pPr>
        <w:pStyle w:val="ae"/>
        <w:numPr>
          <w:ilvl w:val="0"/>
          <w:numId w:val="13"/>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Усі умови приватних інвестицій, як правило, підпадають під дію положень про нерозголошення, що містяться в інвестиційних договорах, акціонерних угодах, інвестиційних меморандумах і проспектах, а також в інших юридичних і фінансових інвестиційних документах.</w:t>
      </w:r>
    </w:p>
    <w:p w14:paraId="112D8403" w14:textId="259F8B7F" w:rsidR="009D0D4B" w:rsidRPr="008D59B4" w:rsidRDefault="00DF2AF2" w:rsidP="00DF2AF2">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Ці два факти унеможливлюють надання членам Асоціації набору статистичних розподілів щодо обсягів інвестицій, вартості власного капіталу, розмірів компаній, а також умов міжнародних угод. Проте натомість ми можемо обговорити з вами, що саме потрібно для того, щоб ваші компанії, якщо вони потребують і прагнуть іноземних інвестицій, могли їх залучити. Однак саме вам належить оцінити, чи варто вашій фірмі витрачати час, кошти та зусилля на залучення іноземних інвестицій.</w:t>
      </w:r>
    </w:p>
    <w:p w14:paraId="7BCCDBD1" w14:textId="77777777" w:rsidR="009A326D" w:rsidRPr="008D59B4" w:rsidRDefault="009A326D" w:rsidP="00DF2AF2">
      <w:pPr>
        <w:spacing w:before="120" w:after="240"/>
        <w:rPr>
          <w:rFonts w:ascii="Book Antiqua" w:hAnsi="Book Antiqua" w:cstheme="majorHAnsi"/>
          <w:sz w:val="20"/>
          <w:szCs w:val="20"/>
          <w:lang w:val="uk-UA"/>
        </w:rPr>
      </w:pPr>
    </w:p>
    <w:p w14:paraId="1A2E24FC" w14:textId="33EDAD87" w:rsidR="009D0D4B" w:rsidRPr="008D59B4" w:rsidRDefault="009A326D" w:rsidP="009A326D">
      <w:pPr>
        <w:shd w:val="clear" w:color="auto" w:fill="BFBFBF" w:themeFill="background1" w:themeFillShade="BF"/>
        <w:spacing w:before="120" w:after="120"/>
        <w:rPr>
          <w:rFonts w:ascii="Book Antiqua" w:hAnsi="Book Antiqua" w:cstheme="majorHAnsi"/>
          <w:b/>
          <w:bCs/>
          <w:i/>
          <w:iCs/>
          <w:sz w:val="20"/>
          <w:szCs w:val="20"/>
          <w:lang w:val="uk-UA"/>
        </w:rPr>
      </w:pPr>
      <w:r w:rsidRPr="008D59B4">
        <w:rPr>
          <w:rFonts w:ascii="Book Antiqua" w:hAnsi="Book Antiqua" w:cstheme="majorHAnsi"/>
          <w:b/>
          <w:bCs/>
          <w:i/>
          <w:iCs/>
          <w:sz w:val="20"/>
          <w:szCs w:val="20"/>
          <w:lang w:val="uk-UA"/>
        </w:rPr>
        <w:t>Хто є ключовими учасниками міжнародних інвестиційних проєктів?</w:t>
      </w:r>
    </w:p>
    <w:p w14:paraId="3B7FDC67" w14:textId="031B8F3C"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Окрім інвестора та компанії-реципієнта інвестицій, існують й інші важливі учасники, які відіграють дуже значущу роль у залученні та завершенні міжнародних інвестиційних угод. Деякі з цих учасників є відповідними представниками інвестора та компанії-реципієнта інвестицій. Інші учасники є незалежними </w:t>
      </w:r>
      <w:r w:rsidRPr="008D59B4">
        <w:rPr>
          <w:rFonts w:ascii="Book Antiqua" w:hAnsi="Book Antiqua" w:cstheme="majorHAnsi"/>
          <w:sz w:val="20"/>
          <w:szCs w:val="20"/>
          <w:lang w:val="uk-UA"/>
        </w:rPr>
        <w:lastRenderedPageBreak/>
        <w:t>суб’єктами, які надають послуги одній чи іншій стороні інвестиційної угоди. Нижче ми наводимо перелік таких учасників і стисло описуємо ключові види діяльності, якими вони займаються.</w:t>
      </w:r>
    </w:p>
    <w:p w14:paraId="672E4037" w14:textId="4DD2C2D2"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Брокери інвестиційних можливостей</w:t>
      </w:r>
    </w:p>
    <w:p w14:paraId="26CA2064" w14:textId="77777777" w:rsidR="009A326D" w:rsidRPr="008D59B4" w:rsidRDefault="009A326D" w:rsidP="009A326D">
      <w:pPr>
        <w:pStyle w:val="ae"/>
        <w:numPr>
          <w:ilvl w:val="0"/>
          <w:numId w:val="14"/>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Брокери інвестиційних можливостей / угод є ключовими учасниками, залученими до формування угоди із самого початку. Брокер знає людей. Він знає людей, які мають кошти для інвестування і вже сформували свої уподобання щодо вкладення в ризикові проєкти. Він також знає людей, які володіють інвестиційними можливостями і потребують коштів для їх реалізації. Отже, брокер угод визначає потенційних інвесторів і потенційних реципієнтів інвестицій та демонструє свою майстерність у поєднанні інвестора з інвестиційною можливістю.</w:t>
      </w:r>
    </w:p>
    <w:p w14:paraId="220DFAE7" w14:textId="77777777" w:rsidR="009A326D" w:rsidRPr="008D59B4" w:rsidRDefault="009A326D" w:rsidP="009A326D">
      <w:pPr>
        <w:pStyle w:val="ae"/>
        <w:spacing w:before="120" w:after="240"/>
        <w:rPr>
          <w:rFonts w:ascii="Book Antiqua" w:hAnsi="Book Antiqua" w:cstheme="majorHAnsi"/>
          <w:sz w:val="20"/>
          <w:szCs w:val="20"/>
          <w:lang w:val="uk-UA"/>
        </w:rPr>
      </w:pPr>
    </w:p>
    <w:p w14:paraId="14B39313" w14:textId="512147B7" w:rsidR="009A326D" w:rsidRPr="008D59B4" w:rsidRDefault="009A326D" w:rsidP="009A326D">
      <w:pPr>
        <w:pStyle w:val="ae"/>
        <w:numPr>
          <w:ilvl w:val="0"/>
          <w:numId w:val="14"/>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Майстерність брокера угод полягає не лише у підборі сторін. Брокер угоди тісно співпрацює з власником інвестиційної можливості під час підготовки меморандумів щодо угоди для приватного розміщення або проспектів для великих угод на відкритому ринку. Обидва ці документи, по суті, є маркетинговими матеріалами високого впливу, які презентують інвестиційну можливість з метою викликати інтерес у потенційних інвесторів. Важливим розділом у </w:t>
      </w:r>
      <w:r w:rsidR="00631F8C">
        <w:rPr>
          <w:rFonts w:ascii="Book Antiqua" w:hAnsi="Book Antiqua" w:cstheme="majorHAnsi"/>
          <w:sz w:val="20"/>
          <w:szCs w:val="20"/>
          <w:lang w:val="uk-UA"/>
        </w:rPr>
        <w:t>м</w:t>
      </w:r>
      <w:r w:rsidRPr="008D59B4">
        <w:rPr>
          <w:rFonts w:ascii="Book Antiqua" w:hAnsi="Book Antiqua" w:cstheme="majorHAnsi"/>
          <w:sz w:val="20"/>
          <w:szCs w:val="20"/>
          <w:lang w:val="uk-UA"/>
        </w:rPr>
        <w:t xml:space="preserve">еморандумі приватного розміщення та в </w:t>
      </w:r>
      <w:r w:rsidR="00631F8C">
        <w:rPr>
          <w:rFonts w:ascii="Book Antiqua" w:hAnsi="Book Antiqua" w:cstheme="majorHAnsi"/>
          <w:sz w:val="20"/>
          <w:szCs w:val="20"/>
          <w:lang w:val="uk-UA"/>
        </w:rPr>
        <w:t>і</w:t>
      </w:r>
      <w:r w:rsidRPr="008D59B4">
        <w:rPr>
          <w:rFonts w:ascii="Book Antiqua" w:hAnsi="Book Antiqua" w:cstheme="majorHAnsi"/>
          <w:sz w:val="20"/>
          <w:szCs w:val="20"/>
          <w:lang w:val="uk-UA"/>
        </w:rPr>
        <w:t>нвестиційному проспекті є розділ, присвячений ціноутворенню інвестиції. Зміст цих документів ми докладніше розглянемо в наступному випуску Бюлетеня.</w:t>
      </w:r>
    </w:p>
    <w:p w14:paraId="481E0DD4" w14:textId="77777777" w:rsidR="009A326D" w:rsidRPr="008D59B4" w:rsidRDefault="009A326D" w:rsidP="009A326D">
      <w:pPr>
        <w:pStyle w:val="ae"/>
        <w:rPr>
          <w:rFonts w:ascii="Book Antiqua" w:hAnsi="Book Antiqua" w:cstheme="majorHAnsi"/>
          <w:sz w:val="20"/>
          <w:szCs w:val="20"/>
          <w:lang w:val="uk-UA"/>
        </w:rPr>
      </w:pPr>
    </w:p>
    <w:p w14:paraId="1FAF5A22" w14:textId="2AFCDB79" w:rsidR="009A326D" w:rsidRPr="008D59B4" w:rsidRDefault="009A326D" w:rsidP="009A326D">
      <w:pPr>
        <w:pStyle w:val="ae"/>
        <w:numPr>
          <w:ilvl w:val="0"/>
          <w:numId w:val="14"/>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Брокери інвестиційних можливостей отримують винагороду за свої послуги або від компанії-реципієнта інвестицій, або від інвестора, або від обох сторін.</w:t>
      </w:r>
    </w:p>
    <w:p w14:paraId="10E7DF90" w14:textId="417C8600"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Експерти з оцінки інвестицій</w:t>
      </w:r>
    </w:p>
    <w:p w14:paraId="2DAFF66E" w14:textId="17B379B0" w:rsidR="009A326D" w:rsidRPr="008D59B4" w:rsidRDefault="009A326D" w:rsidP="009A326D">
      <w:pPr>
        <w:pStyle w:val="ae"/>
        <w:numPr>
          <w:ilvl w:val="0"/>
          <w:numId w:val="15"/>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Розділ у </w:t>
      </w:r>
      <w:r w:rsidR="00631F8C">
        <w:rPr>
          <w:rFonts w:ascii="Book Antiqua" w:hAnsi="Book Antiqua" w:cstheme="majorHAnsi"/>
          <w:sz w:val="20"/>
          <w:szCs w:val="20"/>
          <w:lang w:val="uk-UA"/>
        </w:rPr>
        <w:t>м</w:t>
      </w:r>
      <w:r w:rsidR="00174751" w:rsidRPr="008D59B4">
        <w:rPr>
          <w:rFonts w:ascii="Book Antiqua" w:hAnsi="Book Antiqua" w:cstheme="majorHAnsi"/>
          <w:sz w:val="20"/>
          <w:szCs w:val="20"/>
          <w:lang w:val="uk-UA"/>
        </w:rPr>
        <w:t>еморандумі приватного розміщення</w:t>
      </w:r>
      <w:r w:rsidRPr="008D59B4">
        <w:rPr>
          <w:rFonts w:ascii="Book Antiqua" w:hAnsi="Book Antiqua" w:cstheme="majorHAnsi"/>
          <w:sz w:val="20"/>
          <w:szCs w:val="20"/>
          <w:lang w:val="uk-UA"/>
        </w:rPr>
        <w:t xml:space="preserve"> та </w:t>
      </w:r>
      <w:r w:rsidR="00631F8C">
        <w:rPr>
          <w:rFonts w:ascii="Book Antiqua" w:hAnsi="Book Antiqua" w:cstheme="majorHAnsi"/>
          <w:sz w:val="20"/>
          <w:szCs w:val="20"/>
          <w:lang w:val="uk-UA"/>
        </w:rPr>
        <w:t>і</w:t>
      </w:r>
      <w:r w:rsidRPr="008D59B4">
        <w:rPr>
          <w:rFonts w:ascii="Book Antiqua" w:hAnsi="Book Antiqua" w:cstheme="majorHAnsi"/>
          <w:sz w:val="20"/>
          <w:szCs w:val="20"/>
          <w:lang w:val="uk-UA"/>
        </w:rPr>
        <w:t>нвестиційних проспектах, який стосується ціноутворення інвестицій, ґрунтується на оцінці цих інвестиційних можливостей. Зазвичай компанія, яка шукає інвестиції, наймає незалежного оцінювача, який розробляє неупереджену оцінку вартості, що потім використовується як основа для встановлення ціни пропозиції інвестиції. У міжнародних інвестиційних проєктах довіра до надавачів послуг з оцінки має надзвичайно велике значення, оскільки оцінка вартості має бути надійною, щоб уникнути будь-яких потенційних юридичних оскаржень через суттєве викривлення інформації.</w:t>
      </w:r>
    </w:p>
    <w:p w14:paraId="21880D87" w14:textId="77777777" w:rsidR="009A326D" w:rsidRPr="008D59B4" w:rsidRDefault="009A326D" w:rsidP="009A326D">
      <w:pPr>
        <w:pStyle w:val="ae"/>
        <w:spacing w:before="120" w:after="240"/>
        <w:rPr>
          <w:rFonts w:ascii="Book Antiqua" w:hAnsi="Book Antiqua" w:cstheme="majorHAnsi"/>
          <w:sz w:val="20"/>
          <w:szCs w:val="20"/>
          <w:lang w:val="uk-UA"/>
        </w:rPr>
      </w:pPr>
    </w:p>
    <w:p w14:paraId="7843652C" w14:textId="40383F0C" w:rsidR="009A326D" w:rsidRPr="008D59B4" w:rsidRDefault="009A326D" w:rsidP="009A326D">
      <w:pPr>
        <w:pStyle w:val="ae"/>
        <w:numPr>
          <w:ilvl w:val="0"/>
          <w:numId w:val="15"/>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Часто реципієнти інвестицій залучають експертів з оцінки як радників із підвищення вартості бізнесу. Такі радники виконують дві взаємопов’язані функції. Вони допомагають керівникам компаній-реципієнтів інвестицій визначати драйвери вартості як ключові показники ефективності. Вони також супроводжують процес впровадження заходів із підвищення вартості на всіх етапах операційного ланцюга. Ця діяльність спрямована на підвищення привабливості компанії як об’єкта інвестування, а також на зменшення витрат для </w:t>
      </w:r>
      <w:r w:rsidR="0092118D" w:rsidRPr="0092118D">
        <w:rPr>
          <w:rFonts w:ascii="Book Antiqua" w:hAnsi="Book Antiqua" w:cstheme="majorHAnsi"/>
          <w:sz w:val="20"/>
          <w:szCs w:val="20"/>
          <w:lang w:val="uk-UA"/>
        </w:rPr>
        <w:t>нинішніх акціонерів, пов’язаних з очікуваними</w:t>
      </w:r>
      <w:r w:rsidRPr="008D59B4">
        <w:rPr>
          <w:rFonts w:ascii="Book Antiqua" w:hAnsi="Book Antiqua" w:cstheme="majorHAnsi"/>
          <w:sz w:val="20"/>
          <w:szCs w:val="20"/>
          <w:lang w:val="uk-UA"/>
        </w:rPr>
        <w:t xml:space="preserve"> поступками вимогам інвестора.</w:t>
      </w:r>
    </w:p>
    <w:p w14:paraId="4C8D522D" w14:textId="77777777"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Незалежні аудитори бухгалтерської звітності</w:t>
      </w:r>
    </w:p>
    <w:p w14:paraId="649678AA" w14:textId="77777777" w:rsidR="009A326D" w:rsidRPr="008D59B4" w:rsidRDefault="009A326D" w:rsidP="009A326D">
      <w:pPr>
        <w:spacing w:before="120" w:after="240"/>
        <w:rPr>
          <w:rFonts w:ascii="Book Antiqua" w:hAnsi="Book Antiqua" w:cstheme="majorHAnsi"/>
          <w:sz w:val="20"/>
          <w:szCs w:val="20"/>
          <w:lang w:val="uk-UA"/>
        </w:rPr>
      </w:pPr>
    </w:p>
    <w:p w14:paraId="42B92BC3" w14:textId="4BCD28C4"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Зазвичай </w:t>
      </w:r>
      <w:r w:rsidR="00631F8C">
        <w:rPr>
          <w:rFonts w:ascii="Book Antiqua" w:hAnsi="Book Antiqua" w:cstheme="majorHAnsi"/>
          <w:sz w:val="20"/>
          <w:szCs w:val="20"/>
          <w:lang w:val="uk-UA"/>
        </w:rPr>
        <w:t>м</w:t>
      </w:r>
      <w:r w:rsidRPr="008D59B4">
        <w:rPr>
          <w:rFonts w:ascii="Book Antiqua" w:hAnsi="Book Antiqua" w:cstheme="majorHAnsi"/>
          <w:sz w:val="20"/>
          <w:szCs w:val="20"/>
          <w:lang w:val="uk-UA"/>
        </w:rPr>
        <w:t xml:space="preserve">іжнародні </w:t>
      </w:r>
      <w:r w:rsidR="00B504F7" w:rsidRPr="008D59B4">
        <w:rPr>
          <w:rFonts w:ascii="Book Antiqua" w:hAnsi="Book Antiqua" w:cstheme="majorHAnsi"/>
          <w:sz w:val="20"/>
          <w:szCs w:val="20"/>
          <w:lang w:val="uk-UA"/>
        </w:rPr>
        <w:t>меморандуми приватного розміщення</w:t>
      </w:r>
      <w:r w:rsidRPr="008D59B4">
        <w:rPr>
          <w:rFonts w:ascii="Book Antiqua" w:hAnsi="Book Antiqua" w:cstheme="majorHAnsi"/>
          <w:sz w:val="20"/>
          <w:szCs w:val="20"/>
          <w:lang w:val="uk-UA"/>
        </w:rPr>
        <w:t xml:space="preserve"> містять фінансову звітність, підготовлену відповідно до визнаних американських або міжнародних загальноприйнятих стандартів бухгалтерського обліку (GAAP). Інвестиційні проспекти містять не лише детальні фінансові звіти, а й листи-підтвердження від незалежних аудиторів.</w:t>
      </w:r>
    </w:p>
    <w:p w14:paraId="631B0A74" w14:textId="2B388539"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Юридичні радники</w:t>
      </w:r>
    </w:p>
    <w:p w14:paraId="30D71D79" w14:textId="2B33FB97"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І </w:t>
      </w:r>
      <w:r w:rsidR="00631F8C">
        <w:rPr>
          <w:rFonts w:ascii="Book Antiqua" w:hAnsi="Book Antiqua" w:cstheme="majorHAnsi"/>
          <w:sz w:val="20"/>
          <w:szCs w:val="20"/>
          <w:lang w:val="uk-UA"/>
        </w:rPr>
        <w:t>м</w:t>
      </w:r>
      <w:r w:rsidRPr="008D59B4">
        <w:rPr>
          <w:rFonts w:ascii="Book Antiqua" w:hAnsi="Book Antiqua" w:cstheme="majorHAnsi"/>
          <w:sz w:val="20"/>
          <w:szCs w:val="20"/>
          <w:lang w:val="uk-UA"/>
        </w:rPr>
        <w:t>еморандуми приватного розміщення, і інвестиційні проспекти містять передбачені законом заяви, суттєві політики компанії, описи ключових керівників тощо. Тому юридична команда компанії-реципієнта інвестицій зазвичай бере участь у всьому процесі — від залучення інвестицій до перевірки юридичних матеріалів, переговорів з інвесторами, підготовки інвестиційних договорів, акціонерних угод, політик компанії тощо.</w:t>
      </w:r>
    </w:p>
    <w:p w14:paraId="5B6A92DE" w14:textId="43C8E339" w:rsidR="009A326D" w:rsidRPr="008D59B4" w:rsidRDefault="009A326D" w:rsidP="009A326D">
      <w:p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Команда американського інвестора часто включає таких учасників:</w:t>
      </w:r>
    </w:p>
    <w:p w14:paraId="229124E5" w14:textId="4A390F75"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 xml:space="preserve">Керівник </w:t>
      </w:r>
      <w:r w:rsidR="00A21D06">
        <w:rPr>
          <w:rFonts w:ascii="Book Antiqua" w:hAnsi="Book Antiqua" w:cstheme="majorHAnsi"/>
          <w:sz w:val="20"/>
          <w:szCs w:val="20"/>
          <w:lang w:val="uk-UA"/>
        </w:rPr>
        <w:t>і</w:t>
      </w:r>
      <w:r w:rsidRPr="008D59B4">
        <w:rPr>
          <w:rFonts w:ascii="Book Antiqua" w:hAnsi="Book Antiqua" w:cstheme="majorHAnsi"/>
          <w:sz w:val="20"/>
          <w:szCs w:val="20"/>
          <w:lang w:val="uk-UA"/>
        </w:rPr>
        <w:t xml:space="preserve">з </w:t>
      </w:r>
      <w:r w:rsidR="00A21D06" w:rsidRPr="008D59B4">
        <w:rPr>
          <w:rFonts w:ascii="Book Antiqua" w:hAnsi="Book Antiqua" w:cstheme="majorHAnsi"/>
          <w:sz w:val="20"/>
          <w:szCs w:val="20"/>
          <w:lang w:val="uk-UA"/>
        </w:rPr>
        <w:t xml:space="preserve">розвитку </w:t>
      </w:r>
      <w:r w:rsidRPr="008D59B4">
        <w:rPr>
          <w:rFonts w:ascii="Book Antiqua" w:hAnsi="Book Antiqua" w:cstheme="majorHAnsi"/>
          <w:sz w:val="20"/>
          <w:szCs w:val="20"/>
          <w:lang w:val="uk-UA"/>
        </w:rPr>
        <w:t>міжнародного бізнесу (International Business Development, IBD)</w:t>
      </w:r>
    </w:p>
    <w:p w14:paraId="1DC0C545" w14:textId="42D82426" w:rsidR="009A326D" w:rsidRPr="008D59B4" w:rsidRDefault="009A326D" w:rsidP="00B504F7">
      <w:pPr>
        <w:spacing w:before="120" w:after="240"/>
        <w:ind w:left="720"/>
        <w:rPr>
          <w:rFonts w:ascii="Book Antiqua" w:hAnsi="Book Antiqua" w:cstheme="majorHAnsi"/>
          <w:sz w:val="20"/>
          <w:szCs w:val="20"/>
          <w:lang w:val="uk-UA"/>
        </w:rPr>
      </w:pPr>
      <w:r w:rsidRPr="008D59B4">
        <w:rPr>
          <w:rFonts w:ascii="Book Antiqua" w:hAnsi="Book Antiqua" w:cstheme="majorHAnsi"/>
          <w:sz w:val="20"/>
          <w:szCs w:val="20"/>
          <w:lang w:val="uk-UA"/>
        </w:rPr>
        <w:t xml:space="preserve">Цим учасником може бути і сам інвестор. Зазвичай ця особа відповідає за взаємодію з брокером інвестиційних можливостей під час розгляду та відбору можливостей, а також за управління всім процесом </w:t>
      </w:r>
      <w:r w:rsidR="00A21D06" w:rsidRPr="00A21D06">
        <w:rPr>
          <w:rFonts w:ascii="Book Antiqua" w:hAnsi="Book Antiqua" w:cstheme="majorHAnsi"/>
          <w:sz w:val="20"/>
          <w:szCs w:val="20"/>
          <w:lang w:val="uk-UA"/>
        </w:rPr>
        <w:t xml:space="preserve">інвестиційного залучення </w:t>
      </w:r>
      <w:r w:rsidRPr="008D59B4">
        <w:rPr>
          <w:rFonts w:ascii="Book Antiqua" w:hAnsi="Book Antiqua" w:cstheme="majorHAnsi"/>
          <w:sz w:val="20"/>
          <w:szCs w:val="20"/>
          <w:lang w:val="uk-UA"/>
        </w:rPr>
        <w:t xml:space="preserve">та </w:t>
      </w:r>
      <w:r w:rsidR="00A21D06" w:rsidRPr="00A21D06">
        <w:rPr>
          <w:rFonts w:ascii="Book Antiqua" w:hAnsi="Book Antiqua" w:cstheme="majorHAnsi"/>
          <w:sz w:val="20"/>
          <w:szCs w:val="20"/>
          <w:lang w:val="uk-UA"/>
        </w:rPr>
        <w:t>відповідним</w:t>
      </w:r>
      <w:r w:rsidRPr="008D59B4">
        <w:rPr>
          <w:rFonts w:ascii="Book Antiqua" w:hAnsi="Book Antiqua" w:cstheme="majorHAnsi"/>
          <w:sz w:val="20"/>
          <w:szCs w:val="20"/>
          <w:lang w:val="uk-UA"/>
        </w:rPr>
        <w:t xml:space="preserve"> персоналом.</w:t>
      </w:r>
    </w:p>
    <w:p w14:paraId="075CA450" w14:textId="2A0366F3"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Аналітики корпоративних фінансів зазвичай будують і використовують фінансові моделі сценаріїв бізнесу цільової компанії.</w:t>
      </w:r>
    </w:p>
    <w:p w14:paraId="6B3DCC77" w14:textId="77777777" w:rsidR="009A326D" w:rsidRPr="008D59B4" w:rsidRDefault="009A326D" w:rsidP="009A326D">
      <w:pPr>
        <w:pStyle w:val="ae"/>
        <w:spacing w:before="120" w:after="240"/>
        <w:rPr>
          <w:rFonts w:ascii="Book Antiqua" w:hAnsi="Book Antiqua" w:cstheme="majorHAnsi"/>
          <w:sz w:val="20"/>
          <w:szCs w:val="20"/>
          <w:lang w:val="uk-UA"/>
        </w:rPr>
      </w:pPr>
    </w:p>
    <w:p w14:paraId="4A3E4A9E" w14:textId="77777777"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Операційні радники, які допомагають інвестору або керівнику IBD оцінити ефективність і результативність операційної діяльності.</w:t>
      </w:r>
    </w:p>
    <w:p w14:paraId="52C16976" w14:textId="77777777" w:rsidR="009A326D" w:rsidRPr="008D59B4" w:rsidRDefault="009A326D" w:rsidP="009A326D">
      <w:pPr>
        <w:pStyle w:val="ae"/>
        <w:rPr>
          <w:rFonts w:ascii="Book Antiqua" w:hAnsi="Book Antiqua" w:cstheme="majorHAnsi"/>
          <w:sz w:val="20"/>
          <w:szCs w:val="20"/>
          <w:lang w:val="uk-UA"/>
        </w:rPr>
      </w:pPr>
    </w:p>
    <w:p w14:paraId="5BB6F496" w14:textId="13B99879"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Бухгалтери перевіряють і аналізують точність та достовірність фінансової звітності компанії-реципієнта інвестицій. Вони також реконструюють і нормалізують фінансову звітність реципієнта інвестицій відповідно до іноземних GAAP та складають фінансову звітність за стандартами GAAP</w:t>
      </w:r>
      <w:r w:rsidR="008D59B4">
        <w:rPr>
          <w:rFonts w:ascii="Book Antiqua" w:hAnsi="Book Antiqua" w:cstheme="majorHAnsi"/>
          <w:sz w:val="20"/>
          <w:szCs w:val="20"/>
          <w:lang w:val="uk-UA"/>
        </w:rPr>
        <w:t xml:space="preserve"> США</w:t>
      </w:r>
      <w:r w:rsidRPr="008D59B4">
        <w:rPr>
          <w:rFonts w:ascii="Book Antiqua" w:hAnsi="Book Antiqua" w:cstheme="majorHAnsi"/>
          <w:sz w:val="20"/>
          <w:szCs w:val="20"/>
          <w:lang w:val="uk-UA"/>
        </w:rPr>
        <w:t>.</w:t>
      </w:r>
    </w:p>
    <w:p w14:paraId="14D2060C" w14:textId="77777777" w:rsidR="009A326D" w:rsidRPr="008D59B4" w:rsidRDefault="009A326D" w:rsidP="009A326D">
      <w:pPr>
        <w:pStyle w:val="ae"/>
        <w:rPr>
          <w:rFonts w:ascii="Book Antiqua" w:hAnsi="Book Antiqua" w:cstheme="majorHAnsi"/>
          <w:sz w:val="20"/>
          <w:szCs w:val="20"/>
          <w:lang w:val="uk-UA"/>
        </w:rPr>
      </w:pPr>
    </w:p>
    <w:p w14:paraId="75F1FAE3" w14:textId="46984C61" w:rsidR="009A326D" w:rsidRPr="008D59B4" w:rsidRDefault="009A326D" w:rsidP="009A326D">
      <w:pPr>
        <w:pStyle w:val="ae"/>
        <w:numPr>
          <w:ilvl w:val="0"/>
          <w:numId w:val="16"/>
        </w:numPr>
        <w:spacing w:before="120" w:after="240"/>
        <w:rPr>
          <w:rFonts w:ascii="Book Antiqua" w:hAnsi="Book Antiqua" w:cstheme="majorHAnsi"/>
          <w:sz w:val="20"/>
          <w:szCs w:val="20"/>
          <w:lang w:val="uk-UA"/>
        </w:rPr>
      </w:pPr>
      <w:r w:rsidRPr="008D59B4">
        <w:rPr>
          <w:rFonts w:ascii="Book Antiqua" w:hAnsi="Book Antiqua" w:cstheme="majorHAnsi"/>
          <w:sz w:val="20"/>
          <w:szCs w:val="20"/>
          <w:lang w:val="uk-UA"/>
        </w:rPr>
        <w:t>Внутрішні та іноземні юристи, які спеціалізуються на інвестиціях у США та загальних комерційних договорах, а також на праві, регулюванні, господарських операціях та інвестиціях країни походження компанії-реципієнта інвестицій. Юридична команда також часто бере участь у переговорах щодо деталей інвестиційних угод і допоміжних договорів.</w:t>
      </w:r>
    </w:p>
    <w:p w14:paraId="354CC5D9" w14:textId="77777777" w:rsidR="009A326D" w:rsidRPr="008D59B4" w:rsidRDefault="009A326D" w:rsidP="009A326D">
      <w:pPr>
        <w:pStyle w:val="ae"/>
        <w:rPr>
          <w:rFonts w:ascii="Book Antiqua" w:hAnsi="Book Antiqua" w:cstheme="majorHAnsi"/>
          <w:sz w:val="20"/>
          <w:szCs w:val="20"/>
          <w:lang w:val="uk-UA"/>
        </w:rPr>
      </w:pPr>
    </w:p>
    <w:p w14:paraId="15584DE5" w14:textId="7549C929" w:rsidR="00295949" w:rsidRPr="008D59B4" w:rsidRDefault="009A326D" w:rsidP="009A326D">
      <w:pPr>
        <w:spacing w:before="120" w:after="240"/>
        <w:ind w:left="360"/>
        <w:rPr>
          <w:rFonts w:ascii="Book Antiqua" w:hAnsi="Book Antiqua" w:cstheme="majorHAnsi"/>
          <w:sz w:val="20"/>
          <w:szCs w:val="20"/>
          <w:lang w:val="uk-UA"/>
        </w:rPr>
      </w:pPr>
      <w:r w:rsidRPr="008D59B4">
        <w:rPr>
          <w:rFonts w:ascii="Book Antiqua" w:hAnsi="Book Antiqua" w:cstheme="majorHAnsi"/>
          <w:sz w:val="20"/>
          <w:szCs w:val="20"/>
          <w:lang w:val="uk-UA"/>
        </w:rPr>
        <w:t>У наступному випуску ми розглянемо деякі конкретні теми, які обов’язково мають бути відображені в меморандумах приватного розміщення та в інвестиційних проспектах.</w:t>
      </w:r>
    </w:p>
    <w:sectPr w:rsidR="00295949" w:rsidRPr="008D59B4" w:rsidSect="00244806">
      <w:headerReference w:type="default" r:id="rId8"/>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75215" w14:textId="77777777" w:rsidR="00933EB7" w:rsidRDefault="00933EB7" w:rsidP="002F3602">
      <w:pPr>
        <w:spacing w:after="0" w:line="240" w:lineRule="auto"/>
      </w:pPr>
      <w:r>
        <w:separator/>
      </w:r>
    </w:p>
  </w:endnote>
  <w:endnote w:type="continuationSeparator" w:id="0">
    <w:p w14:paraId="27ECDB86" w14:textId="77777777" w:rsidR="00933EB7" w:rsidRDefault="00933EB7" w:rsidP="002F3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doni MT">
    <w:altName w:val="Gentium Basic"/>
    <w:charset w:val="4D"/>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Elephant">
    <w:altName w:val="Rubik"/>
    <w:charset w:val="4D"/>
    <w:family w:val="roman"/>
    <w:pitch w:val="variable"/>
    <w:sig w:usb0="00000003" w:usb1="00000000" w:usb2="00000000" w:usb3="00000000" w:csb0="00000001" w:csb1="00000000"/>
  </w:font>
  <w:font w:name="Hadassah Friedlaender">
    <w:altName w:val="Times New Roman"/>
    <w:charset w:val="B1"/>
    <w:family w:val="roman"/>
    <w:pitch w:val="variable"/>
    <w:sig w:usb0="00000000"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C982" w14:textId="77777777" w:rsidR="00933EB7" w:rsidRDefault="00933EB7" w:rsidP="002F3602">
      <w:pPr>
        <w:spacing w:after="0" w:line="240" w:lineRule="auto"/>
      </w:pPr>
      <w:r>
        <w:separator/>
      </w:r>
    </w:p>
  </w:footnote>
  <w:footnote w:type="continuationSeparator" w:id="0">
    <w:p w14:paraId="1FD7724F" w14:textId="77777777" w:rsidR="00933EB7" w:rsidRDefault="00933EB7" w:rsidP="002F3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30A1" w14:textId="77777777" w:rsidR="009D0D4B" w:rsidRPr="002D709A" w:rsidRDefault="009D0D4B" w:rsidP="000944C1">
    <w:pPr>
      <w:spacing w:after="0"/>
      <w:jc w:val="center"/>
      <w:rPr>
        <w:rFonts w:ascii="Cambria" w:hAnsi="Cambria" w:cs="Cambria"/>
        <w:b/>
        <w:bCs/>
        <w:smallCaps/>
        <w:color w:val="4F81BD"/>
        <w:sz w:val="32"/>
        <w:szCs w:val="32"/>
        <w:lang w:val="uk-UA"/>
      </w:rPr>
    </w:pPr>
    <w:r w:rsidRPr="002D709A">
      <w:rPr>
        <w:rFonts w:ascii="Cambria" w:hAnsi="Cambria" w:cs="Cambria"/>
        <w:b/>
        <w:bCs/>
        <w:smallCaps/>
        <w:color w:val="4F81BD"/>
        <w:sz w:val="32"/>
        <w:szCs w:val="32"/>
        <w:lang w:val="uk-UA"/>
      </w:rPr>
      <w:t>ІНВЕСТИЦІЙНИЙ</w:t>
    </w:r>
    <w:r w:rsidRPr="002D709A">
      <w:rPr>
        <w:rFonts w:ascii="Elephant" w:hAnsi="Elephant"/>
        <w:b/>
        <w:bCs/>
        <w:smallCaps/>
        <w:color w:val="4F81BD"/>
        <w:sz w:val="32"/>
        <w:szCs w:val="32"/>
        <w:lang w:val="uk-UA"/>
      </w:rPr>
      <w:t xml:space="preserve"> </w:t>
    </w:r>
    <w:r w:rsidRPr="002D709A">
      <w:rPr>
        <w:rFonts w:ascii="Cambria" w:hAnsi="Cambria" w:cs="Cambria"/>
        <w:b/>
        <w:bCs/>
        <w:smallCaps/>
        <w:color w:val="4F81BD"/>
        <w:sz w:val="32"/>
        <w:szCs w:val="32"/>
        <w:lang w:val="uk-UA"/>
      </w:rPr>
      <w:t>БЮЛЕТЕНЬ</w:t>
    </w:r>
    <w:r w:rsidRPr="002D709A">
      <w:rPr>
        <w:rFonts w:ascii="Elephant" w:hAnsi="Elephant"/>
        <w:b/>
        <w:bCs/>
        <w:smallCaps/>
        <w:color w:val="4F81BD"/>
        <w:sz w:val="32"/>
        <w:szCs w:val="32"/>
        <w:lang w:val="uk-UA"/>
      </w:rPr>
      <w:t xml:space="preserve"> </w:t>
    </w:r>
    <w:r w:rsidRPr="002D709A">
      <w:rPr>
        <w:rFonts w:ascii="Cambria" w:hAnsi="Cambria" w:cs="Cambria"/>
        <w:b/>
        <w:bCs/>
        <w:smallCaps/>
        <w:color w:val="4F81BD"/>
        <w:sz w:val="32"/>
        <w:szCs w:val="32"/>
        <w:lang w:val="uk-UA"/>
      </w:rPr>
      <w:t>США</w:t>
    </w:r>
    <w:r w:rsidRPr="002D709A">
      <w:rPr>
        <w:rFonts w:ascii="Elephant" w:hAnsi="Elephant"/>
        <w:b/>
        <w:bCs/>
        <w:smallCaps/>
        <w:color w:val="4F81BD"/>
        <w:sz w:val="32"/>
        <w:szCs w:val="32"/>
        <w:lang w:val="uk-UA"/>
      </w:rPr>
      <w:t xml:space="preserve"> — </w:t>
    </w:r>
    <w:r w:rsidRPr="002D709A">
      <w:rPr>
        <w:rFonts w:ascii="Cambria" w:hAnsi="Cambria" w:cs="Cambria"/>
        <w:b/>
        <w:bCs/>
        <w:smallCaps/>
        <w:color w:val="4F81BD"/>
        <w:sz w:val="32"/>
        <w:szCs w:val="32"/>
        <w:lang w:val="uk-UA"/>
      </w:rPr>
      <w:t>УКРАЇНА</w:t>
    </w:r>
  </w:p>
  <w:p w14:paraId="48A5EBE6" w14:textId="0DFCA0B4" w:rsidR="009D0D4B" w:rsidRPr="002D709A" w:rsidRDefault="009D0D4B" w:rsidP="009D0D4B">
    <w:pPr>
      <w:pStyle w:val="a5"/>
      <w:pBdr>
        <w:bottom w:val="single" w:sz="4" w:space="1" w:color="D9D9D9" w:themeColor="background1" w:themeShade="D9"/>
      </w:pBdr>
      <w:tabs>
        <w:tab w:val="clear" w:pos="9360"/>
        <w:tab w:val="right" w:pos="10080"/>
      </w:tabs>
      <w:spacing w:before="120"/>
      <w:ind w:right="-720"/>
      <w:jc w:val="center"/>
      <w:rPr>
        <w:rFonts w:ascii="Cambria" w:hAnsi="Cambria" w:cs="Cambria"/>
        <w:smallCaps/>
        <w:color w:val="4F81BD"/>
        <w:sz w:val="18"/>
        <w:szCs w:val="18"/>
        <w:lang w:val="uk-UA"/>
      </w:rPr>
    </w:pPr>
    <w:r w:rsidRPr="002D709A">
      <w:rPr>
        <w:rFonts w:ascii="Cambria" w:hAnsi="Cambria" w:cs="Cambria"/>
        <w:smallCaps/>
        <w:color w:val="4F81BD"/>
        <w:sz w:val="18"/>
        <w:szCs w:val="18"/>
        <w:lang w:val="uk-UA"/>
      </w:rPr>
      <w:t>Щотижневий</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Стратегічний</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Брифінг</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Для</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Українських</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Компаній</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Що</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Шукають</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Іноземні</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Приватні</w:t>
    </w:r>
    <w:r w:rsidRPr="002D709A">
      <w:rPr>
        <w:rFonts w:ascii="Hadassah Friedlaender" w:hAnsi="Hadassah Friedlaender" w:cs="Hadassah Friedlaender"/>
        <w:smallCaps/>
        <w:color w:val="4F81BD"/>
        <w:sz w:val="18"/>
        <w:szCs w:val="18"/>
        <w:lang w:val="uk-UA"/>
      </w:rPr>
      <w:t xml:space="preserve"> </w:t>
    </w:r>
    <w:r w:rsidRPr="002D709A">
      <w:rPr>
        <w:rFonts w:ascii="Cambria" w:hAnsi="Cambria" w:cs="Cambria"/>
        <w:smallCaps/>
        <w:color w:val="4F81BD"/>
        <w:sz w:val="18"/>
        <w:szCs w:val="18"/>
        <w:lang w:val="uk-UA"/>
      </w:rPr>
      <w:t>Інвестиції</w:t>
    </w:r>
  </w:p>
  <w:p w14:paraId="42F879DB" w14:textId="722262D0" w:rsidR="00F85729" w:rsidRPr="002D709A" w:rsidRDefault="009D0D4B" w:rsidP="000944C1">
    <w:pPr>
      <w:pStyle w:val="a5"/>
      <w:pBdr>
        <w:bottom w:val="single" w:sz="4" w:space="1" w:color="D9D9D9" w:themeColor="background1" w:themeShade="D9"/>
      </w:pBdr>
      <w:tabs>
        <w:tab w:val="clear" w:pos="9360"/>
        <w:tab w:val="right" w:pos="10080"/>
      </w:tabs>
      <w:spacing w:before="120"/>
      <w:ind w:right="-720"/>
      <w:rPr>
        <w:b/>
        <w:bCs/>
        <w:noProof/>
        <w:color w:val="4F81BD"/>
        <w:lang w:val="uk-UA"/>
      </w:rPr>
    </w:pPr>
    <w:r w:rsidRPr="002D709A">
      <w:rPr>
        <w:b/>
        <w:bCs/>
        <w:color w:val="4F81BD"/>
        <w:lang w:val="uk-UA"/>
      </w:rPr>
      <w:t>Випуск</w:t>
    </w:r>
    <w:r w:rsidR="00857D3B" w:rsidRPr="002D709A">
      <w:rPr>
        <w:b/>
        <w:bCs/>
        <w:color w:val="4F81BD"/>
        <w:lang w:val="uk-UA"/>
      </w:rPr>
      <w:t xml:space="preserve"> </w:t>
    </w:r>
    <w:r w:rsidR="00915726">
      <w:rPr>
        <w:b/>
        <w:bCs/>
        <w:color w:val="4F81BD"/>
        <w:lang w:val="uk-UA"/>
      </w:rPr>
      <w:t>№</w:t>
    </w:r>
    <w:r w:rsidR="00857D3B" w:rsidRPr="002D709A">
      <w:rPr>
        <w:b/>
        <w:bCs/>
        <w:color w:val="4F81BD"/>
        <w:lang w:val="uk-UA"/>
      </w:rPr>
      <w:t xml:space="preserve"> </w:t>
    </w:r>
    <w:r w:rsidR="00DF2AF2">
      <w:rPr>
        <w:b/>
        <w:bCs/>
        <w:color w:val="4F81BD"/>
        <w:lang w:val="uk-UA"/>
      </w:rPr>
      <w:t>4</w:t>
    </w:r>
    <w:r w:rsidR="00857D3B" w:rsidRPr="002D709A">
      <w:rPr>
        <w:b/>
        <w:bCs/>
        <w:color w:val="4F81BD"/>
        <w:lang w:val="uk-UA"/>
      </w:rPr>
      <w:tab/>
    </w:r>
    <w:r w:rsidR="00E34FBB" w:rsidRPr="002D709A">
      <w:rPr>
        <w:b/>
        <w:bCs/>
        <w:color w:val="4F81BD"/>
        <w:sz w:val="28"/>
        <w:szCs w:val="28"/>
        <w:lang w:val="uk-UA"/>
      </w:rPr>
      <w:t xml:space="preserve"> </w:t>
    </w:r>
    <w:r w:rsidR="00DF2AF2">
      <w:rPr>
        <w:b/>
        <w:bCs/>
        <w:color w:val="4F81BD"/>
        <w:sz w:val="28"/>
        <w:szCs w:val="28"/>
        <w:lang w:val="uk-UA"/>
      </w:rPr>
      <w:t>15</w:t>
    </w:r>
    <w:r w:rsidRPr="002D709A">
      <w:rPr>
        <w:b/>
        <w:bCs/>
        <w:color w:val="4F81BD"/>
        <w:sz w:val="28"/>
        <w:szCs w:val="28"/>
        <w:lang w:val="uk-UA"/>
      </w:rPr>
      <w:t xml:space="preserve"> </w:t>
    </w:r>
    <w:r w:rsidR="00DF2AF2">
      <w:rPr>
        <w:b/>
        <w:bCs/>
        <w:color w:val="4F81BD"/>
        <w:sz w:val="28"/>
        <w:szCs w:val="28"/>
        <w:lang w:val="uk-UA"/>
      </w:rPr>
      <w:t>березня</w:t>
    </w:r>
    <w:r w:rsidR="00E34FBB" w:rsidRPr="002D709A">
      <w:rPr>
        <w:b/>
        <w:bCs/>
        <w:color w:val="4F81BD"/>
        <w:sz w:val="28"/>
        <w:szCs w:val="28"/>
        <w:lang w:val="uk-UA"/>
      </w:rPr>
      <w:t xml:space="preserve"> 2026</w:t>
    </w:r>
    <w:r w:rsidR="00857D3B" w:rsidRPr="002D709A">
      <w:rPr>
        <w:b/>
        <w:bCs/>
        <w:color w:val="4F81BD"/>
        <w:lang w:val="uk-UA"/>
      </w:rPr>
      <w:tab/>
    </w:r>
    <w:sdt>
      <w:sdtPr>
        <w:rPr>
          <w:color w:val="7F7F7F" w:themeColor="background1" w:themeShade="7F"/>
          <w:spacing w:val="60"/>
          <w:lang w:val="uk-UA"/>
        </w:rPr>
        <w:id w:val="-603255442"/>
        <w:docPartObj>
          <w:docPartGallery w:val="Page Numbers (Top of Page)"/>
          <w:docPartUnique/>
        </w:docPartObj>
      </w:sdtPr>
      <w:sdtEndPr>
        <w:rPr>
          <w:b/>
          <w:bCs/>
          <w:noProof/>
          <w:color w:val="4F81BD"/>
          <w:spacing w:val="0"/>
        </w:rPr>
      </w:sdtEndPr>
      <w:sdtContent>
        <w:r w:rsidRPr="002D709A">
          <w:rPr>
            <w:b/>
            <w:bCs/>
            <w:color w:val="4F81BD"/>
            <w:lang w:val="uk-UA"/>
          </w:rPr>
          <w:t>Сторінка</w:t>
        </w:r>
        <w:r w:rsidR="00F85729" w:rsidRPr="002D709A">
          <w:rPr>
            <w:b/>
            <w:bCs/>
            <w:color w:val="4F81BD"/>
            <w:lang w:val="uk-UA"/>
          </w:rPr>
          <w:t xml:space="preserve"> </w:t>
        </w:r>
        <w:r w:rsidR="00F85729" w:rsidRPr="002D709A">
          <w:rPr>
            <w:color w:val="4F81BD"/>
            <w:lang w:val="uk-UA"/>
          </w:rPr>
          <w:t xml:space="preserve">| </w:t>
        </w:r>
        <w:r w:rsidR="00F85729" w:rsidRPr="002D709A">
          <w:rPr>
            <w:color w:val="4F81BD"/>
            <w:lang w:val="uk-UA"/>
          </w:rPr>
          <w:fldChar w:fldCharType="begin"/>
        </w:r>
        <w:r w:rsidR="00F85729" w:rsidRPr="002D709A">
          <w:rPr>
            <w:color w:val="4F81BD"/>
            <w:lang w:val="uk-UA"/>
          </w:rPr>
          <w:instrText xml:space="preserve"> PAGE   \* MERGEFORMAT </w:instrText>
        </w:r>
        <w:r w:rsidR="00F85729" w:rsidRPr="002D709A">
          <w:rPr>
            <w:color w:val="4F81BD"/>
            <w:lang w:val="uk-UA"/>
          </w:rPr>
          <w:fldChar w:fldCharType="separate"/>
        </w:r>
        <w:r w:rsidR="00543A89">
          <w:rPr>
            <w:noProof/>
            <w:color w:val="4F81BD"/>
            <w:lang w:val="uk-UA"/>
          </w:rPr>
          <w:t>1</w:t>
        </w:r>
        <w:r w:rsidR="00F85729" w:rsidRPr="002D709A">
          <w:rPr>
            <w:b/>
            <w:bCs/>
            <w:noProof/>
            <w:color w:val="4F81BD"/>
            <w:lang w:val="uk-UA"/>
          </w:rPr>
          <w:fldChar w:fldCharType="end"/>
        </w:r>
      </w:sdtContent>
    </w:sdt>
  </w:p>
  <w:p w14:paraId="06EE2D4D" w14:textId="7E4627E4" w:rsidR="002F3602" w:rsidRPr="00A117CD" w:rsidRDefault="009D0D4B" w:rsidP="00244806">
    <w:pPr>
      <w:pBdr>
        <w:bottom w:val="thinThickMediumGap" w:sz="24" w:space="1" w:color="4F81BD"/>
      </w:pBdr>
      <w:spacing w:before="120" w:after="240"/>
      <w:jc w:val="center"/>
      <w:rPr>
        <w:b/>
        <w:bCs/>
        <w:color w:val="C00000"/>
        <w:sz w:val="16"/>
        <w:szCs w:val="16"/>
        <w:lang w:val="uk-UA"/>
      </w:rPr>
    </w:pPr>
    <w:r w:rsidRPr="00A117CD">
      <w:rPr>
        <w:rFonts w:ascii="Cambria" w:hAnsi="Cambria" w:cs="Cambria"/>
        <w:b/>
        <w:bCs/>
        <w:smallCaps/>
        <w:color w:val="C00000"/>
        <w:sz w:val="16"/>
        <w:szCs w:val="16"/>
        <w:lang w:val="uk-UA"/>
      </w:rPr>
      <w:t>КОНКУРЕНТНІ</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ПЕРЕВАГИ</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НАРОДЖУЮТЬСЯ</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ТОДІ</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КОЛИ</w:t>
    </w:r>
    <w:r w:rsidRPr="00A117CD">
      <w:rPr>
        <w:rFonts w:ascii="Hadassah Friedlaender" w:hAnsi="Hadassah Friedlaender" w:cs="Hadassah Friedlaender"/>
        <w:b/>
        <w:bCs/>
        <w:smallCaps/>
        <w:color w:val="C00000"/>
        <w:sz w:val="16"/>
        <w:szCs w:val="16"/>
        <w:lang w:val="uk-UA"/>
      </w:rPr>
      <w:t xml:space="preserve"> </w:t>
    </w:r>
    <w:r w:rsidR="0067726D">
      <w:rPr>
        <w:rFonts w:ascii="Cambria" w:hAnsi="Cambria" w:cs="Cambria"/>
        <w:b/>
        <w:bCs/>
        <w:smallCaps/>
        <w:color w:val="C00000"/>
        <w:sz w:val="16"/>
        <w:szCs w:val="16"/>
        <w:lang w:val="uk-UA"/>
      </w:rPr>
      <w:t>КАП</w:t>
    </w:r>
    <w:r w:rsidRPr="00A117CD">
      <w:rPr>
        <w:rFonts w:ascii="Cambria" w:hAnsi="Cambria" w:cs="Cambria"/>
        <w:b/>
        <w:bCs/>
        <w:smallCaps/>
        <w:color w:val="C00000"/>
        <w:sz w:val="16"/>
        <w:szCs w:val="16"/>
        <w:lang w:val="uk-UA"/>
      </w:rPr>
      <w:t>ІТАЛ</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ГОТОВИЙ</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ДАТИ</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ЇМ</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ЖИТТЯ</w:t>
    </w:r>
    <w:r w:rsidRPr="00A117CD">
      <w:rPr>
        <w:rFonts w:ascii="Hadassah Friedlaender" w:hAnsi="Hadassah Friedlaender" w:cs="Hadassah Friedlaender"/>
        <w:b/>
        <w:bCs/>
        <w:smallCaps/>
        <w:color w:val="C00000"/>
        <w:sz w:val="16"/>
        <w:szCs w:val="16"/>
        <w:lang w:val="uk-UA"/>
      </w:rPr>
      <w:t>.</w:t>
    </w:r>
    <w:r w:rsidR="008543F9" w:rsidRPr="00A117CD">
      <w:rPr>
        <w:rFonts w:ascii="Hadassah Friedlaender" w:hAnsi="Hadassah Friedlaender" w:cs="Hadassah Friedlaender"/>
        <w:b/>
        <w:bCs/>
        <w:smallCaps/>
        <w:color w:val="C00000"/>
        <w:sz w:val="16"/>
        <w:szCs w:val="16"/>
        <w:lang w:val="uk-UA"/>
      </w:rPr>
      <w:br/>
    </w:r>
    <w:r w:rsidRPr="00A117CD">
      <w:rPr>
        <w:rFonts w:ascii="Cambria" w:hAnsi="Cambria" w:cs="Cambria"/>
        <w:b/>
        <w:bCs/>
        <w:smallCaps/>
        <w:color w:val="C00000"/>
        <w:sz w:val="16"/>
        <w:szCs w:val="16"/>
        <w:lang w:val="uk-UA"/>
      </w:rPr>
      <w:t>ПІДГОТОВКА</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ДО</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ОТРИМАННЯ</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ІНОЗЕМНИХ</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ІНВЕСТИЦІЙ</w:t>
    </w:r>
    <w:r w:rsidRPr="00A117CD">
      <w:rPr>
        <w:rFonts w:ascii="Hadassah Friedlaender" w:hAnsi="Hadassah Friedlaender" w:cs="Hadassah Friedlaender"/>
        <w:b/>
        <w:bCs/>
        <w:smallCaps/>
        <w:color w:val="C00000"/>
        <w:sz w:val="16"/>
        <w:szCs w:val="16"/>
        <w:lang w:val="uk-UA"/>
      </w:rPr>
      <w:t xml:space="preserve"> — </w:t>
    </w:r>
    <w:r w:rsidRPr="00A117CD">
      <w:rPr>
        <w:rFonts w:ascii="Cambria" w:hAnsi="Cambria" w:cs="Cambria"/>
        <w:b/>
        <w:bCs/>
        <w:smallCaps/>
        <w:color w:val="C00000"/>
        <w:sz w:val="16"/>
        <w:szCs w:val="16"/>
        <w:lang w:val="uk-UA"/>
      </w:rPr>
      <w:t>ЦЕ</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ГОТОВНІСТЬ</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ВИЖИ</w:t>
    </w:r>
    <w:r w:rsidR="009D077C">
      <w:rPr>
        <w:rFonts w:ascii="Cambria" w:hAnsi="Cambria" w:cs="Cambria"/>
        <w:b/>
        <w:bCs/>
        <w:smallCaps/>
        <w:color w:val="C00000"/>
        <w:sz w:val="16"/>
        <w:szCs w:val="16"/>
        <w:lang w:val="uk-UA"/>
      </w:rPr>
      <w:t>ВА</w:t>
    </w:r>
    <w:r w:rsidRPr="00A117CD">
      <w:rPr>
        <w:rFonts w:ascii="Cambria" w:hAnsi="Cambria" w:cs="Cambria"/>
        <w:b/>
        <w:bCs/>
        <w:smallCaps/>
        <w:color w:val="C00000"/>
        <w:sz w:val="16"/>
        <w:szCs w:val="16"/>
        <w:lang w:val="uk-UA"/>
      </w:rPr>
      <w:t>ТИ</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ТА</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ПЕРЕМ</w:t>
    </w:r>
    <w:r w:rsidR="009D077C">
      <w:rPr>
        <w:rFonts w:ascii="Cambria" w:hAnsi="Cambria" w:cs="Cambria"/>
        <w:b/>
        <w:bCs/>
        <w:smallCaps/>
        <w:color w:val="C00000"/>
        <w:sz w:val="16"/>
        <w:szCs w:val="16"/>
        <w:lang w:val="uk-UA"/>
      </w:rPr>
      <w:t>А</w:t>
    </w:r>
    <w:r w:rsidRPr="00A117CD">
      <w:rPr>
        <w:rFonts w:ascii="Cambria" w:hAnsi="Cambria" w:cs="Cambria"/>
        <w:b/>
        <w:bCs/>
        <w:smallCaps/>
        <w:color w:val="C00000"/>
        <w:sz w:val="16"/>
        <w:szCs w:val="16"/>
        <w:lang w:val="uk-UA"/>
      </w:rPr>
      <w:t>Г</w:t>
    </w:r>
    <w:r w:rsidR="009D077C">
      <w:rPr>
        <w:rFonts w:ascii="Cambria" w:hAnsi="Cambria" w:cs="Cambria"/>
        <w:b/>
        <w:bCs/>
        <w:smallCaps/>
        <w:color w:val="C00000"/>
        <w:sz w:val="16"/>
        <w:szCs w:val="16"/>
        <w:lang w:val="uk-UA"/>
      </w:rPr>
      <w:t>А</w:t>
    </w:r>
    <w:r w:rsidRPr="00A117CD">
      <w:rPr>
        <w:rFonts w:ascii="Cambria" w:hAnsi="Cambria" w:cs="Cambria"/>
        <w:b/>
        <w:bCs/>
        <w:smallCaps/>
        <w:color w:val="C00000"/>
        <w:sz w:val="16"/>
        <w:szCs w:val="16"/>
        <w:lang w:val="uk-UA"/>
      </w:rPr>
      <w:t>ТИ</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НА</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ВІДКРИТИХ</w:t>
    </w:r>
    <w:r w:rsidRPr="00A117CD">
      <w:rPr>
        <w:rFonts w:ascii="Hadassah Friedlaender" w:hAnsi="Hadassah Friedlaender" w:cs="Hadassah Friedlaender"/>
        <w:b/>
        <w:bCs/>
        <w:smallCaps/>
        <w:color w:val="C00000"/>
        <w:sz w:val="16"/>
        <w:szCs w:val="16"/>
        <w:lang w:val="uk-UA"/>
      </w:rPr>
      <w:t xml:space="preserve"> </w:t>
    </w:r>
    <w:r w:rsidRPr="00A117CD">
      <w:rPr>
        <w:rFonts w:ascii="Cambria" w:hAnsi="Cambria" w:cs="Cambria"/>
        <w:b/>
        <w:bCs/>
        <w:smallCaps/>
        <w:color w:val="C00000"/>
        <w:sz w:val="16"/>
        <w:szCs w:val="16"/>
        <w:lang w:val="uk-UA"/>
      </w:rPr>
      <w:t>РИНКАХ</w:t>
    </w:r>
    <w:r w:rsidRPr="00A117CD">
      <w:rPr>
        <w:rFonts w:ascii="Hadassah Friedlaender" w:hAnsi="Hadassah Friedlaender" w:cs="Hadassah Friedlaender"/>
        <w:b/>
        <w:bCs/>
        <w:smallCaps/>
        <w:color w:val="C00000"/>
        <w:sz w:val="16"/>
        <w:szCs w:val="16"/>
        <w:lang w:val="uk-U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33C4C95"/>
    <w:multiLevelType w:val="hybridMultilevel"/>
    <w:tmpl w:val="4C1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B33D1D"/>
    <w:multiLevelType w:val="hybridMultilevel"/>
    <w:tmpl w:val="9406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72733"/>
    <w:multiLevelType w:val="hybridMultilevel"/>
    <w:tmpl w:val="F1D2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478A2"/>
    <w:multiLevelType w:val="hybridMultilevel"/>
    <w:tmpl w:val="96AA7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F16AC"/>
    <w:multiLevelType w:val="hybridMultilevel"/>
    <w:tmpl w:val="FE18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211DFE"/>
    <w:multiLevelType w:val="hybridMultilevel"/>
    <w:tmpl w:val="9A74F794"/>
    <w:lvl w:ilvl="0" w:tplc="0218D3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9A0080"/>
    <w:multiLevelType w:val="multilevel"/>
    <w:tmpl w:val="AA3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15"/>
  </w:num>
  <w:num w:numId="13">
    <w:abstractNumId w:val="14"/>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4947"/>
    <w:rsid w:val="00031B24"/>
    <w:rsid w:val="00034616"/>
    <w:rsid w:val="00042157"/>
    <w:rsid w:val="00042518"/>
    <w:rsid w:val="000458AC"/>
    <w:rsid w:val="00052057"/>
    <w:rsid w:val="00056A09"/>
    <w:rsid w:val="000604AF"/>
    <w:rsid w:val="0006063C"/>
    <w:rsid w:val="000670CE"/>
    <w:rsid w:val="00075A7E"/>
    <w:rsid w:val="00080F19"/>
    <w:rsid w:val="00081698"/>
    <w:rsid w:val="00091806"/>
    <w:rsid w:val="000944C1"/>
    <w:rsid w:val="000A1907"/>
    <w:rsid w:val="000A7AF9"/>
    <w:rsid w:val="000B20AF"/>
    <w:rsid w:val="000E49F3"/>
    <w:rsid w:val="000F74E2"/>
    <w:rsid w:val="00106DF9"/>
    <w:rsid w:val="00116997"/>
    <w:rsid w:val="00116A00"/>
    <w:rsid w:val="00123088"/>
    <w:rsid w:val="00130F05"/>
    <w:rsid w:val="0015074B"/>
    <w:rsid w:val="0015515E"/>
    <w:rsid w:val="00156EEF"/>
    <w:rsid w:val="001660AB"/>
    <w:rsid w:val="00171345"/>
    <w:rsid w:val="0017254B"/>
    <w:rsid w:val="00173E6C"/>
    <w:rsid w:val="00174751"/>
    <w:rsid w:val="001B22C1"/>
    <w:rsid w:val="001B62D2"/>
    <w:rsid w:val="001D1608"/>
    <w:rsid w:val="001E15E2"/>
    <w:rsid w:val="001F0F29"/>
    <w:rsid w:val="001F15DF"/>
    <w:rsid w:val="001F69AE"/>
    <w:rsid w:val="001F6D82"/>
    <w:rsid w:val="001F7839"/>
    <w:rsid w:val="001F7B74"/>
    <w:rsid w:val="00215161"/>
    <w:rsid w:val="0021700C"/>
    <w:rsid w:val="00234F08"/>
    <w:rsid w:val="002377BF"/>
    <w:rsid w:val="00241A45"/>
    <w:rsid w:val="00244806"/>
    <w:rsid w:val="00265580"/>
    <w:rsid w:val="002702D1"/>
    <w:rsid w:val="0028060F"/>
    <w:rsid w:val="00282081"/>
    <w:rsid w:val="00291D08"/>
    <w:rsid w:val="00292C58"/>
    <w:rsid w:val="00295949"/>
    <w:rsid w:val="0029639D"/>
    <w:rsid w:val="002A375C"/>
    <w:rsid w:val="002A45AB"/>
    <w:rsid w:val="002A521F"/>
    <w:rsid w:val="002B55F8"/>
    <w:rsid w:val="002C161E"/>
    <w:rsid w:val="002D2A8B"/>
    <w:rsid w:val="002D709A"/>
    <w:rsid w:val="002F3602"/>
    <w:rsid w:val="002F36BC"/>
    <w:rsid w:val="00301516"/>
    <w:rsid w:val="00305A15"/>
    <w:rsid w:val="00311C0E"/>
    <w:rsid w:val="00320F26"/>
    <w:rsid w:val="00326F90"/>
    <w:rsid w:val="00333214"/>
    <w:rsid w:val="0033732D"/>
    <w:rsid w:val="00340CC1"/>
    <w:rsid w:val="003540B7"/>
    <w:rsid w:val="00362952"/>
    <w:rsid w:val="0036729B"/>
    <w:rsid w:val="003750D7"/>
    <w:rsid w:val="00375E54"/>
    <w:rsid w:val="00381710"/>
    <w:rsid w:val="00382E67"/>
    <w:rsid w:val="00385BB6"/>
    <w:rsid w:val="00386891"/>
    <w:rsid w:val="0038692F"/>
    <w:rsid w:val="003972E4"/>
    <w:rsid w:val="003C0783"/>
    <w:rsid w:val="003C4704"/>
    <w:rsid w:val="003C7A60"/>
    <w:rsid w:val="003C7F12"/>
    <w:rsid w:val="003D1DB0"/>
    <w:rsid w:val="003D4960"/>
    <w:rsid w:val="003F1211"/>
    <w:rsid w:val="004020BB"/>
    <w:rsid w:val="00414213"/>
    <w:rsid w:val="0042008B"/>
    <w:rsid w:val="00423A32"/>
    <w:rsid w:val="0042653F"/>
    <w:rsid w:val="004834D2"/>
    <w:rsid w:val="00485791"/>
    <w:rsid w:val="00485A3F"/>
    <w:rsid w:val="00494AF9"/>
    <w:rsid w:val="004B5E4D"/>
    <w:rsid w:val="004C0215"/>
    <w:rsid w:val="004C6FAC"/>
    <w:rsid w:val="004F1AF7"/>
    <w:rsid w:val="00522019"/>
    <w:rsid w:val="005256FF"/>
    <w:rsid w:val="00543A89"/>
    <w:rsid w:val="005605DD"/>
    <w:rsid w:val="005635EF"/>
    <w:rsid w:val="005705BD"/>
    <w:rsid w:val="0057558E"/>
    <w:rsid w:val="00576B82"/>
    <w:rsid w:val="005948E2"/>
    <w:rsid w:val="005A1FA5"/>
    <w:rsid w:val="005A7D05"/>
    <w:rsid w:val="005B4F49"/>
    <w:rsid w:val="005B5583"/>
    <w:rsid w:val="005B55AF"/>
    <w:rsid w:val="005E0D08"/>
    <w:rsid w:val="005E3871"/>
    <w:rsid w:val="005F6499"/>
    <w:rsid w:val="00603F83"/>
    <w:rsid w:val="00610DEC"/>
    <w:rsid w:val="00610E87"/>
    <w:rsid w:val="00611E64"/>
    <w:rsid w:val="00611F05"/>
    <w:rsid w:val="00631F8C"/>
    <w:rsid w:val="006365FA"/>
    <w:rsid w:val="006512C7"/>
    <w:rsid w:val="006646FA"/>
    <w:rsid w:val="00672644"/>
    <w:rsid w:val="0067726D"/>
    <w:rsid w:val="00680B87"/>
    <w:rsid w:val="00690D8E"/>
    <w:rsid w:val="006A02CD"/>
    <w:rsid w:val="006B0BFF"/>
    <w:rsid w:val="006B54BD"/>
    <w:rsid w:val="006B71E1"/>
    <w:rsid w:val="006D2C1A"/>
    <w:rsid w:val="006D77D8"/>
    <w:rsid w:val="00703E2A"/>
    <w:rsid w:val="00727715"/>
    <w:rsid w:val="0073697C"/>
    <w:rsid w:val="00740D3A"/>
    <w:rsid w:val="00743A5F"/>
    <w:rsid w:val="00773B8F"/>
    <w:rsid w:val="0079339B"/>
    <w:rsid w:val="007A2806"/>
    <w:rsid w:val="007B536B"/>
    <w:rsid w:val="007B5915"/>
    <w:rsid w:val="007B6E8C"/>
    <w:rsid w:val="007C60E3"/>
    <w:rsid w:val="007C6C58"/>
    <w:rsid w:val="007D47A0"/>
    <w:rsid w:val="007E2201"/>
    <w:rsid w:val="007E2986"/>
    <w:rsid w:val="007F672B"/>
    <w:rsid w:val="00804EDB"/>
    <w:rsid w:val="00806896"/>
    <w:rsid w:val="00814A4C"/>
    <w:rsid w:val="008163AC"/>
    <w:rsid w:val="00821642"/>
    <w:rsid w:val="008543F9"/>
    <w:rsid w:val="00857D3B"/>
    <w:rsid w:val="00871F9E"/>
    <w:rsid w:val="00872DC7"/>
    <w:rsid w:val="00881EB6"/>
    <w:rsid w:val="008A131A"/>
    <w:rsid w:val="008A6E05"/>
    <w:rsid w:val="008B5352"/>
    <w:rsid w:val="008C5459"/>
    <w:rsid w:val="008D0800"/>
    <w:rsid w:val="008D59B4"/>
    <w:rsid w:val="008F04A4"/>
    <w:rsid w:val="008F3325"/>
    <w:rsid w:val="008F6F7E"/>
    <w:rsid w:val="008F7367"/>
    <w:rsid w:val="00901F27"/>
    <w:rsid w:val="00915726"/>
    <w:rsid w:val="0092118D"/>
    <w:rsid w:val="00933EB7"/>
    <w:rsid w:val="00980020"/>
    <w:rsid w:val="0098036A"/>
    <w:rsid w:val="009840AE"/>
    <w:rsid w:val="009A326D"/>
    <w:rsid w:val="009A543B"/>
    <w:rsid w:val="009A56B2"/>
    <w:rsid w:val="009A56E4"/>
    <w:rsid w:val="009A78CA"/>
    <w:rsid w:val="009B3F52"/>
    <w:rsid w:val="009B534A"/>
    <w:rsid w:val="009C2AB0"/>
    <w:rsid w:val="009C561A"/>
    <w:rsid w:val="009D077C"/>
    <w:rsid w:val="009D0D4B"/>
    <w:rsid w:val="009F16C0"/>
    <w:rsid w:val="00A117CD"/>
    <w:rsid w:val="00A20768"/>
    <w:rsid w:val="00A21404"/>
    <w:rsid w:val="00A21D06"/>
    <w:rsid w:val="00A44543"/>
    <w:rsid w:val="00A47F52"/>
    <w:rsid w:val="00A50E6D"/>
    <w:rsid w:val="00A56BD7"/>
    <w:rsid w:val="00A844DE"/>
    <w:rsid w:val="00AA1D8D"/>
    <w:rsid w:val="00AA3F39"/>
    <w:rsid w:val="00AB7999"/>
    <w:rsid w:val="00AC3EE8"/>
    <w:rsid w:val="00AD49FB"/>
    <w:rsid w:val="00AE3E43"/>
    <w:rsid w:val="00AE3FE4"/>
    <w:rsid w:val="00B40880"/>
    <w:rsid w:val="00B410B9"/>
    <w:rsid w:val="00B44393"/>
    <w:rsid w:val="00B47730"/>
    <w:rsid w:val="00B50432"/>
    <w:rsid w:val="00B504F7"/>
    <w:rsid w:val="00B51F71"/>
    <w:rsid w:val="00B555F5"/>
    <w:rsid w:val="00B60D39"/>
    <w:rsid w:val="00B72318"/>
    <w:rsid w:val="00B9474E"/>
    <w:rsid w:val="00BA28F5"/>
    <w:rsid w:val="00BA4FE0"/>
    <w:rsid w:val="00BD1D4E"/>
    <w:rsid w:val="00BE7CFD"/>
    <w:rsid w:val="00BF3FFD"/>
    <w:rsid w:val="00C042D8"/>
    <w:rsid w:val="00C04B54"/>
    <w:rsid w:val="00C05416"/>
    <w:rsid w:val="00C241FE"/>
    <w:rsid w:val="00C25260"/>
    <w:rsid w:val="00C521AD"/>
    <w:rsid w:val="00C55277"/>
    <w:rsid w:val="00C601C8"/>
    <w:rsid w:val="00C631B6"/>
    <w:rsid w:val="00C70D05"/>
    <w:rsid w:val="00C74207"/>
    <w:rsid w:val="00C82432"/>
    <w:rsid w:val="00C87D1C"/>
    <w:rsid w:val="00C9288B"/>
    <w:rsid w:val="00C95950"/>
    <w:rsid w:val="00C97846"/>
    <w:rsid w:val="00CA4BFA"/>
    <w:rsid w:val="00CB0664"/>
    <w:rsid w:val="00CB5F53"/>
    <w:rsid w:val="00CE37B6"/>
    <w:rsid w:val="00CE4AA7"/>
    <w:rsid w:val="00CF2FC3"/>
    <w:rsid w:val="00CF53CB"/>
    <w:rsid w:val="00CF55A7"/>
    <w:rsid w:val="00D174FE"/>
    <w:rsid w:val="00D230F6"/>
    <w:rsid w:val="00D276DE"/>
    <w:rsid w:val="00D454CC"/>
    <w:rsid w:val="00D511BF"/>
    <w:rsid w:val="00D55127"/>
    <w:rsid w:val="00D62192"/>
    <w:rsid w:val="00D855F4"/>
    <w:rsid w:val="00D85EE4"/>
    <w:rsid w:val="00D908D5"/>
    <w:rsid w:val="00D9365F"/>
    <w:rsid w:val="00D976E2"/>
    <w:rsid w:val="00DA4E31"/>
    <w:rsid w:val="00DA6793"/>
    <w:rsid w:val="00DA7058"/>
    <w:rsid w:val="00DA7526"/>
    <w:rsid w:val="00DB2669"/>
    <w:rsid w:val="00DB65A8"/>
    <w:rsid w:val="00DC4A04"/>
    <w:rsid w:val="00DD50E0"/>
    <w:rsid w:val="00DE21FE"/>
    <w:rsid w:val="00DF2AF2"/>
    <w:rsid w:val="00E310D9"/>
    <w:rsid w:val="00E34FBB"/>
    <w:rsid w:val="00E53410"/>
    <w:rsid w:val="00E66CB7"/>
    <w:rsid w:val="00E8358A"/>
    <w:rsid w:val="00E92F2E"/>
    <w:rsid w:val="00EB25DA"/>
    <w:rsid w:val="00EE517A"/>
    <w:rsid w:val="00EF21C2"/>
    <w:rsid w:val="00EF2ABD"/>
    <w:rsid w:val="00EF403C"/>
    <w:rsid w:val="00F11B12"/>
    <w:rsid w:val="00F25F62"/>
    <w:rsid w:val="00F27684"/>
    <w:rsid w:val="00F4010E"/>
    <w:rsid w:val="00F41296"/>
    <w:rsid w:val="00F41CA0"/>
    <w:rsid w:val="00F5050D"/>
    <w:rsid w:val="00F55261"/>
    <w:rsid w:val="00F55C7C"/>
    <w:rsid w:val="00F8500D"/>
    <w:rsid w:val="00F85729"/>
    <w:rsid w:val="00FA67FC"/>
    <w:rsid w:val="00FA69CB"/>
    <w:rsid w:val="00FC661F"/>
    <w:rsid w:val="00FC693F"/>
    <w:rsid w:val="00FD2AA6"/>
    <w:rsid w:val="00FD4862"/>
    <w:rsid w:val="00FD63B2"/>
    <w:rsid w:val="00FD6C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989649"/>
  <w14:defaultImageDpi w14:val="300"/>
  <w15:docId w15:val="{8836BB2F-9867-3649-B4A0-551B3037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95949"/>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annotation reference"/>
    <w:basedOn w:val="a2"/>
    <w:uiPriority w:val="99"/>
    <w:semiHidden/>
    <w:unhideWhenUsed/>
    <w:rsid w:val="006B54BD"/>
    <w:rPr>
      <w:sz w:val="16"/>
      <w:szCs w:val="16"/>
    </w:rPr>
  </w:style>
  <w:style w:type="paragraph" w:styleId="aff9">
    <w:name w:val="annotation text"/>
    <w:basedOn w:val="a1"/>
    <w:link w:val="affa"/>
    <w:uiPriority w:val="99"/>
    <w:semiHidden/>
    <w:unhideWhenUsed/>
    <w:rsid w:val="006B54BD"/>
    <w:pPr>
      <w:spacing w:line="240" w:lineRule="auto"/>
    </w:pPr>
    <w:rPr>
      <w:sz w:val="20"/>
      <w:szCs w:val="20"/>
    </w:rPr>
  </w:style>
  <w:style w:type="character" w:customStyle="1" w:styleId="affa">
    <w:name w:val="Текст примечания Знак"/>
    <w:basedOn w:val="a2"/>
    <w:link w:val="aff9"/>
    <w:uiPriority w:val="99"/>
    <w:semiHidden/>
    <w:rsid w:val="006B54BD"/>
    <w:rPr>
      <w:sz w:val="20"/>
      <w:szCs w:val="20"/>
    </w:rPr>
  </w:style>
  <w:style w:type="paragraph" w:styleId="affb">
    <w:name w:val="annotation subject"/>
    <w:basedOn w:val="aff9"/>
    <w:next w:val="aff9"/>
    <w:link w:val="affc"/>
    <w:uiPriority w:val="99"/>
    <w:semiHidden/>
    <w:unhideWhenUsed/>
    <w:rsid w:val="006B54BD"/>
    <w:rPr>
      <w:b/>
      <w:bCs/>
    </w:rPr>
  </w:style>
  <w:style w:type="character" w:customStyle="1" w:styleId="affc">
    <w:name w:val="Тема примечания Знак"/>
    <w:basedOn w:val="affa"/>
    <w:link w:val="affb"/>
    <w:uiPriority w:val="99"/>
    <w:semiHidden/>
    <w:rsid w:val="006B54BD"/>
    <w:rPr>
      <w:b/>
      <w:bCs/>
      <w:sz w:val="20"/>
      <w:szCs w:val="20"/>
    </w:rPr>
  </w:style>
  <w:style w:type="character" w:styleId="affd">
    <w:name w:val="Hyperlink"/>
    <w:basedOn w:val="a2"/>
    <w:uiPriority w:val="99"/>
    <w:unhideWhenUsed/>
    <w:rsid w:val="0042653F"/>
    <w:rPr>
      <w:color w:val="0000FF" w:themeColor="hyperlink"/>
      <w:u w:val="single"/>
    </w:rPr>
  </w:style>
  <w:style w:type="character" w:customStyle="1" w:styleId="UnresolvedMention1">
    <w:name w:val="Unresolved Mention1"/>
    <w:basedOn w:val="a2"/>
    <w:uiPriority w:val="99"/>
    <w:semiHidden/>
    <w:unhideWhenUsed/>
    <w:rsid w:val="0042653F"/>
    <w:rPr>
      <w:color w:val="605E5C"/>
      <w:shd w:val="clear" w:color="auto" w:fill="E1DFDD"/>
    </w:rPr>
  </w:style>
  <w:style w:type="character" w:styleId="affe">
    <w:name w:val="FollowedHyperlink"/>
    <w:basedOn w:val="a2"/>
    <w:uiPriority w:val="99"/>
    <w:semiHidden/>
    <w:unhideWhenUsed/>
    <w:rsid w:val="0042653F"/>
    <w:rPr>
      <w:color w:val="800080" w:themeColor="followedHyperlink"/>
      <w:u w:val="single"/>
    </w:rPr>
  </w:style>
  <w:style w:type="paragraph" w:customStyle="1" w:styleId="Default">
    <w:name w:val="Default"/>
    <w:rsid w:val="00D454CC"/>
    <w:pPr>
      <w:autoSpaceDE w:val="0"/>
      <w:autoSpaceDN w:val="0"/>
      <w:adjustRightInd w:val="0"/>
      <w:spacing w:after="0" w:line="240" w:lineRule="auto"/>
    </w:pPr>
    <w:rPr>
      <w:rFonts w:ascii="Calibri" w:hAnsi="Calibri" w:cs="Calibri"/>
      <w:color w:val="000000"/>
      <w:sz w:val="24"/>
      <w:szCs w:val="24"/>
      <w:lang w:bidi="he-IL"/>
    </w:rPr>
  </w:style>
  <w:style w:type="paragraph" w:styleId="afff">
    <w:name w:val="Normal (Web)"/>
    <w:basedOn w:val="a1"/>
    <w:uiPriority w:val="99"/>
    <w:semiHidden/>
    <w:unhideWhenUsed/>
    <w:rsid w:val="009B3F52"/>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12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AF10-C7A4-4483-A1E6-9E0A44DA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8802</Words>
  <Characters>5018</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Учетная запись Майкрософт</cp:lastModifiedBy>
  <cp:revision>2</cp:revision>
  <cp:lastPrinted>2025-11-19T19:53:00Z</cp:lastPrinted>
  <dcterms:created xsi:type="dcterms:W3CDTF">2026-04-06T06:58:00Z</dcterms:created>
  <dcterms:modified xsi:type="dcterms:W3CDTF">2026-04-06T06:58:00Z</dcterms:modified>
  <cp:category/>
</cp:coreProperties>
</file>