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2C6" w:rsidRPr="00A57055" w:rsidRDefault="004052C6" w:rsidP="004052C6">
      <w:pPr>
        <w:spacing w:before="180" w:after="345" w:line="525" w:lineRule="atLeast"/>
        <w:jc w:val="center"/>
        <w:textAlignment w:val="baseline"/>
        <w:outlineLvl w:val="1"/>
        <w:rPr>
          <w:rFonts w:ascii="Times New Roman" w:eastAsia="Times New Roman" w:hAnsi="Times New Roman" w:cs="Times New Roman"/>
          <w:b/>
          <w:bCs/>
          <w:sz w:val="24"/>
          <w:szCs w:val="24"/>
          <w:lang w:eastAsia="uk-UA"/>
        </w:rPr>
      </w:pPr>
      <w:r w:rsidRPr="00A57055">
        <w:rPr>
          <w:rFonts w:ascii="Times New Roman" w:eastAsia="Times New Roman" w:hAnsi="Times New Roman" w:cs="Times New Roman"/>
          <w:b/>
          <w:bCs/>
          <w:sz w:val="24"/>
          <w:szCs w:val="24"/>
          <w:lang w:eastAsia="uk-UA"/>
        </w:rPr>
        <w:t>ДЕРЖАВНА ПОДАТКОВА СЛУЖБА УКРАЇНИ</w:t>
      </w:r>
    </w:p>
    <w:p w:rsidR="004052C6" w:rsidRPr="00A57055" w:rsidRDefault="004052C6" w:rsidP="004052C6">
      <w:pPr>
        <w:spacing w:after="0" w:line="525" w:lineRule="atLeast"/>
        <w:jc w:val="center"/>
        <w:textAlignment w:val="baseline"/>
        <w:outlineLvl w:val="0"/>
        <w:rPr>
          <w:rFonts w:ascii="Times New Roman" w:eastAsia="Times New Roman" w:hAnsi="Times New Roman" w:cs="Times New Roman"/>
          <w:b/>
          <w:bCs/>
          <w:kern w:val="36"/>
          <w:sz w:val="24"/>
          <w:szCs w:val="24"/>
          <w:lang w:eastAsia="uk-UA"/>
        </w:rPr>
      </w:pPr>
      <w:r w:rsidRPr="00A57055">
        <w:rPr>
          <w:rFonts w:ascii="Times New Roman" w:eastAsia="Times New Roman" w:hAnsi="Times New Roman" w:cs="Times New Roman"/>
          <w:b/>
          <w:bCs/>
          <w:kern w:val="36"/>
          <w:sz w:val="24"/>
          <w:szCs w:val="24"/>
          <w:lang w:eastAsia="uk-UA"/>
        </w:rPr>
        <w:t>ІНДИВІДУАЛЬНА ПОДАТКОВА КОНСУЛЬТАЦІЯ</w:t>
      </w:r>
    </w:p>
    <w:p w:rsidR="004052C6" w:rsidRPr="00A57055" w:rsidRDefault="004052C6" w:rsidP="004052C6">
      <w:pPr>
        <w:spacing w:after="0" w:line="525" w:lineRule="atLeast"/>
        <w:jc w:val="center"/>
        <w:textAlignment w:val="baseline"/>
        <w:outlineLvl w:val="0"/>
        <w:rPr>
          <w:rFonts w:ascii="Times New Roman" w:eastAsia="Times New Roman" w:hAnsi="Times New Roman" w:cs="Times New Roman"/>
          <w:b/>
          <w:bCs/>
          <w:kern w:val="36"/>
          <w:sz w:val="24"/>
          <w:szCs w:val="24"/>
          <w:lang w:eastAsia="uk-UA"/>
        </w:rPr>
      </w:pPr>
      <w:r w:rsidRPr="00A57055">
        <w:rPr>
          <w:rFonts w:ascii="Times New Roman" w:eastAsia="Times New Roman" w:hAnsi="Times New Roman" w:cs="Times New Roman"/>
          <w:b/>
          <w:bCs/>
          <w:kern w:val="36"/>
          <w:sz w:val="24"/>
          <w:szCs w:val="24"/>
          <w:bdr w:val="none" w:sz="0" w:space="0" w:color="auto" w:frame="1"/>
          <w:lang w:eastAsia="uk-UA"/>
        </w:rPr>
        <w:t>від 28.11.2025 р. № 6322/ІПК/99-00-04-02-03 ІПК</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bdr w:val="none" w:sz="0" w:space="0" w:color="auto" w:frame="1"/>
          <w:lang w:eastAsia="uk-UA"/>
        </w:rPr>
      </w:pP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t>Державна податкова служба України розглянула звернення Товариства від та, керуючись статтею 52 Податкового кодексу України (далі – Кодекс), повідомляє.</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t>Як зазначається у звернені, на 02.10.2023 у</w:t>
      </w:r>
      <w:r w:rsidRPr="00A57055">
        <w:rPr>
          <w:rFonts w:ascii="Calibri" w:eastAsia="Times New Roman" w:hAnsi="Calibri" w:cs="Times New Roman"/>
          <w:sz w:val="24"/>
          <w:szCs w:val="24"/>
          <w:bdr w:val="none" w:sz="0" w:space="0" w:color="auto" w:frame="1"/>
          <w:lang w:eastAsia="uk-UA"/>
        </w:rPr>
        <w:t> </w:t>
      </w:r>
      <w:r w:rsidRPr="00A57055">
        <w:rPr>
          <w:rFonts w:ascii="Times New Roman" w:eastAsia="Times New Roman" w:hAnsi="Times New Roman" w:cs="Times New Roman"/>
          <w:sz w:val="24"/>
          <w:szCs w:val="24"/>
          <w:bdr w:val="none" w:sz="0" w:space="0" w:color="auto" w:frame="1"/>
          <w:lang w:eastAsia="uk-UA"/>
        </w:rPr>
        <w:t>Товариства рахувалась заборгованість в інтегрованій картці платника (далі – ІКП) за податковою декларацією з податку на додану вартість (далі – ПДВ)  № _________ від __.09.2023 за серпень 2023 року. Товариством подано податкову декларацію з ПДВ за вересень 2023 року  та заповнено рядок 20.1 на суму від’ємного значення з ПДВ, яка зараховується у зменшення суми податкового боргу, який виник 02.10.2023.</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t>З наведеної практичної ситуації Товариство просить надати роз’яснення:</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t>Чи мало право Товариство відобразити в податковій декларації з ПДВ за вересень 2023 року в рядку 20.1 суму ПДВ в погашення податкового боргу з ПДВ, який виник 02.10.2023?</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t>Правові основи оподаткування ПДВ встановлено розділом V та підрозділом 2 розділу XX Кодексу.</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t>Порядок визначення суми податку, що підлягає сплаті (перерахуванню) до Державного бюджету України або відшкодуванню з Державного бюджету України (бюджетному відшкодуванню), визначено статтею 200 Кодексу.</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t>Порядок надання податкової декларації та строки розрахунків з бюджетом з ПДВ визначено статтею 203 Кодексу.</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t>Згідно з пунктом 203.1 статті 203 Кодексу податкова декларація подається за базовий звітний (податковий) період, що дорівнює календарному місяцю, протягом 20 календарних днів, що настають за останнім календарним днем звітного (податкового) місяця.</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color w:val="000000"/>
          <w:sz w:val="24"/>
          <w:szCs w:val="24"/>
          <w:bdr w:val="none" w:sz="0" w:space="0" w:color="auto" w:frame="1"/>
          <w:lang w:eastAsia="uk-UA"/>
        </w:rPr>
        <w:t>Сума податкового зобов’язання, зазначена платником податку в поданій ним податковій декларації, підлягає сплаті протягом 10 календарних днів, що настають за останнім днем відповідного граничного строку, передбаченого пунктом 203.1 статтею 203 Кодексу для подання податкової декларації (пункт 203.2 стаття 203 Кодексу).</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color w:val="000000"/>
          <w:sz w:val="24"/>
          <w:szCs w:val="24"/>
          <w:bdr w:val="none" w:sz="0" w:space="0" w:color="auto" w:frame="1"/>
          <w:lang w:eastAsia="uk-UA"/>
        </w:rPr>
        <w:t>Підпунктом 14.1.175 пункту 14.1 статті 14 Кодексу визначено, що податковий борг – сума узгодженого </w:t>
      </w:r>
      <w:r w:rsidRPr="00A57055">
        <w:rPr>
          <w:rFonts w:ascii="Times New Roman" w:eastAsia="Times New Roman" w:hAnsi="Times New Roman" w:cs="Times New Roman"/>
          <w:sz w:val="24"/>
          <w:szCs w:val="24"/>
          <w:bdr w:val="none" w:sz="0" w:space="0" w:color="auto" w:frame="1"/>
          <w:lang w:eastAsia="uk-UA"/>
        </w:rPr>
        <w:t>грошового зобов’язання, не сплаченого платником податків у встановлений Кодексом строк, та непогашеної пені, нарахованої у порядку, визначеному Кодексом.</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t>Відповідно до пункту 200.1 статті 200 Кодексу сума податку, що підлягає сплаті (перерахуванню) до Державного бюджету України або бюджетному відшкодуванню, визначається як різниця між сумою податкового зобов’язання звітного (податкового) періоду та сумою податкового кредиту такого звітного (податкового) періоду.</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t>Пунктом 200.4 статті 200 Кодексу передбачено, що при від’ємному значенні суми, розрахованої згідно з пунктом 200.1 статті 200 Кодексу, така сума, зокрема, враховується у зменшення суми податкового боргу з податку, що виник за попередні звітні (податкові) періоди (у тому числі розстроченого або відстроченого відповідно до Кодексу) в частині, що не перевищує суму, обчислену відповідно до </w:t>
      </w:r>
      <w:r w:rsidRPr="00A57055">
        <w:rPr>
          <w:rFonts w:ascii="Times New Roman" w:eastAsia="Times New Roman" w:hAnsi="Times New Roman" w:cs="Times New Roman"/>
          <w:color w:val="000000"/>
          <w:sz w:val="24"/>
          <w:szCs w:val="24"/>
          <w:bdr w:val="none" w:sz="0" w:space="0" w:color="auto" w:frame="1"/>
          <w:lang w:eastAsia="uk-UA"/>
        </w:rPr>
        <w:t>пункту 200</w:t>
      </w:r>
      <w:r w:rsidRPr="00A57055">
        <w:rPr>
          <w:rFonts w:ascii="Times New Roman" w:eastAsia="Times New Roman" w:hAnsi="Times New Roman" w:cs="Times New Roman"/>
          <w:color w:val="000000"/>
          <w:sz w:val="24"/>
          <w:szCs w:val="24"/>
          <w:bdr w:val="none" w:sz="0" w:space="0" w:color="auto" w:frame="1"/>
          <w:vertAlign w:val="superscript"/>
          <w:lang w:eastAsia="uk-UA"/>
        </w:rPr>
        <w:t>1</w:t>
      </w:r>
      <w:r w:rsidRPr="00A57055">
        <w:rPr>
          <w:rFonts w:ascii="Times New Roman" w:eastAsia="Times New Roman" w:hAnsi="Times New Roman" w:cs="Times New Roman"/>
          <w:color w:val="000000"/>
          <w:sz w:val="24"/>
          <w:szCs w:val="24"/>
          <w:bdr w:val="none" w:sz="0" w:space="0" w:color="auto" w:frame="1"/>
          <w:lang w:eastAsia="uk-UA"/>
        </w:rPr>
        <w:t>.3 </w:t>
      </w:r>
      <w:r w:rsidRPr="00A57055">
        <w:rPr>
          <w:rFonts w:ascii="Times New Roman" w:eastAsia="Times New Roman" w:hAnsi="Times New Roman" w:cs="Times New Roman"/>
          <w:sz w:val="24"/>
          <w:szCs w:val="24"/>
          <w:bdr w:val="none" w:sz="0" w:space="0" w:color="auto" w:frame="1"/>
          <w:lang w:eastAsia="uk-UA"/>
        </w:rPr>
        <w:t>статті 200</w:t>
      </w:r>
      <w:r w:rsidRPr="00A57055">
        <w:rPr>
          <w:rFonts w:ascii="Times New Roman" w:eastAsia="Times New Roman" w:hAnsi="Times New Roman" w:cs="Times New Roman"/>
          <w:color w:val="000000"/>
          <w:sz w:val="24"/>
          <w:szCs w:val="24"/>
          <w:bdr w:val="none" w:sz="0" w:space="0" w:color="auto" w:frame="1"/>
          <w:lang w:eastAsia="uk-UA"/>
        </w:rPr>
        <w:t>1</w:t>
      </w:r>
      <w:r w:rsidRPr="00A57055">
        <w:rPr>
          <w:rFonts w:ascii="Times New Roman" w:eastAsia="Times New Roman" w:hAnsi="Times New Roman" w:cs="Times New Roman"/>
          <w:sz w:val="24"/>
          <w:szCs w:val="24"/>
          <w:bdr w:val="none" w:sz="0" w:space="0" w:color="auto" w:frame="1"/>
          <w:lang w:eastAsia="uk-UA"/>
        </w:rPr>
        <w:t> Кодексу (далі – реєстраційна сума) на момент отримання контролюючим органом податкової декларації.</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color w:val="000000"/>
          <w:sz w:val="24"/>
          <w:szCs w:val="24"/>
          <w:bdr w:val="none" w:sz="0" w:space="0" w:color="auto" w:frame="1"/>
          <w:lang w:eastAsia="uk-UA"/>
        </w:rPr>
        <w:t>Механізм заповнення і подання податкової звітності з ПДВ встановлено наказом Міністерства фінансів України «Про затвердження форм та Порядку заповнення і подання податкової звітності з ПДВ» від 28.01.2016 № 21, зареєстрованого в Міністерстві юстиції України 29.01.2016 за № 159/28289</w:t>
      </w:r>
      <w:r w:rsidRPr="00A57055">
        <w:rPr>
          <w:rFonts w:ascii="Times New Roman" w:eastAsia="Times New Roman" w:hAnsi="Times New Roman" w:cs="Times New Roman"/>
          <w:color w:val="000000"/>
          <w:sz w:val="24"/>
          <w:szCs w:val="24"/>
          <w:bdr w:val="none" w:sz="0" w:space="0" w:color="auto" w:frame="1"/>
          <w:lang w:eastAsia="uk-UA"/>
        </w:rPr>
        <w:br/>
        <w:t>(далі – Порядок № 21</w:t>
      </w:r>
      <w:r w:rsidRPr="00A57055">
        <w:rPr>
          <w:rFonts w:ascii="Times New Roman" w:eastAsia="Times New Roman" w:hAnsi="Times New Roman" w:cs="Times New Roman"/>
          <w:sz w:val="24"/>
          <w:szCs w:val="24"/>
          <w:bdr w:val="none" w:sz="0" w:space="0" w:color="auto" w:frame="1"/>
          <w:lang w:eastAsia="uk-UA"/>
        </w:rPr>
        <w:t>).</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t>При цьому платник податку самостійно обчислює суму податкового зобов’язання, яку зазначає в податковій звітності. Дані наведені в податковій звітності, мають відповідати даним бухгалтерського та податкового обліку (пункт 6 розділу ІІІ Порядку № 21).</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color w:val="000000"/>
          <w:sz w:val="24"/>
          <w:szCs w:val="24"/>
          <w:bdr w:val="none" w:sz="0" w:space="0" w:color="auto" w:frame="1"/>
          <w:lang w:eastAsia="uk-UA"/>
        </w:rPr>
        <w:t>Згідно з підпунктом 4 пункту 5 розділу V Порядку № 21 сума від’ємного значення зараховується у зменшення суми податкового боргу, що виник за попередні звітні (податкові) періоди (у тому числі розстроченого або відстроченого відповідно до Кодексу) (відображається у рядку 20.1 податкової декларації з ПДВ).</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lastRenderedPageBreak/>
        <w:t>Сума, яка зараховується у зменшення суми податкового боргу з ПДВ</w:t>
      </w:r>
      <w:r w:rsidRPr="00A57055">
        <w:rPr>
          <w:rFonts w:ascii="Times New Roman" w:eastAsia="Times New Roman" w:hAnsi="Times New Roman" w:cs="Times New Roman"/>
          <w:sz w:val="24"/>
          <w:szCs w:val="24"/>
          <w:bdr w:val="none" w:sz="0" w:space="0" w:color="auto" w:frame="1"/>
          <w:lang w:eastAsia="uk-UA"/>
        </w:rPr>
        <w:br/>
        <w:t>(рядок 20.1) дорівнює сумі рядка «Усього» графи 8 таблиці 1 (Д2) (додаток 2).</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t>Відповідно до пункту 1 розділу II Порядку ведення податковими органами оперативного обліку податків, зборів, платежів та єдиного внеску на загальнообов’язкове державне соціальне страхування, затвердженого наказом Міністерства фінансів України від 12.01.2021 № 5, зареєстрованим в Міністерстві юстиції України 15.03.2021 за № 321/35943 (далі – Порядок № 5), для забезпечення ведення оперативного обліку податків, зборів, платежів, єдиного внеску в інформаційно – комунікаційних системах ДПС</w:t>
      </w:r>
      <w:r w:rsidR="009F7961">
        <w:rPr>
          <w:rFonts w:ascii="Times New Roman" w:eastAsia="Times New Roman" w:hAnsi="Times New Roman" w:cs="Times New Roman"/>
          <w:sz w:val="24"/>
          <w:szCs w:val="24"/>
          <w:bdr w:val="none" w:sz="0" w:space="0" w:color="auto" w:frame="1"/>
          <w:lang w:eastAsia="uk-UA"/>
        </w:rPr>
        <w:t xml:space="preserve"> </w:t>
      </w:r>
      <w:bookmarkStart w:id="0" w:name="_GoBack"/>
      <w:bookmarkEnd w:id="0"/>
      <w:r w:rsidRPr="00A57055">
        <w:rPr>
          <w:rFonts w:ascii="Times New Roman" w:eastAsia="Times New Roman" w:hAnsi="Times New Roman" w:cs="Times New Roman"/>
          <w:sz w:val="24"/>
          <w:szCs w:val="24"/>
          <w:bdr w:val="none" w:sz="0" w:space="0" w:color="auto" w:frame="1"/>
          <w:lang w:eastAsia="uk-UA"/>
        </w:rPr>
        <w:t>(далі – ІКС ДПС) відкриваються ІКП за кожним кодом класифікації доходів бюджету / технологічним кодом єдиного внеску щодо кожного платника, територіального органу ДПС, що відповідає місцю обліку платника або обліку об’єкта оподаткування, коду території територіальної громади згідно з Кодифікатором адміністративно-територіальних одиниць та територій територіальних громад, затвердженим наказом Міністерства розвитку громад та територій України від 26.11.2020 № 290 (у редакції наказу Міністерства розвитку громад та територій України від 12.01.2021 № 3).</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t>ІКП містить інформацію про первинні показники оперативного обліку, облікові операції та первинні показники оперативного обліку, які характеризують стан розрахунків платника з бюджетами та фондами загальнообов’язкового державного соціального і пенсійного страхування за відповідним видом платежу та відповідною адміністративно-територіальною одиницею.</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t>Під час проведення облікової операції в ІКП зазначаються дата запису операції, зміст операції та/або документ, на підставі якого здійснюється запис.</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t>Первинні показники оперативного обліку в ІКП відображаються в хронологічному порядку. Водночас кожний первинний показник оперативного обліку фіксується в окремому рядку із зазначенням коду та його короткого опису з посиланням на реквізити первинних документів, дати його проведення з подальшим автоматичним розрахунком в ІКП первинних показників оперативного обліку.</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t>Підпунктом 5 пункту 2 розділу III Порядку № 5 визначено, що під час погашення суми податкового боргу (його частини) кошти, які сплачує такий платник, у першу чергу зараховуються у рахунок податкового зобов’язання. У разі повного погашення суми податкового боргу кошти, які сплачує такий платник, у наступну чергу зараховуються у рахунок погашення штрафів, в останню чергу – у рахунок пені згідно з черговістю їх виникнення.</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t>Отже, у разі наявності у платника податку на дату подання ним податкової звітності з ПДВ податкового боргу з цього податку, такий платник має право зарахувати суму від’ємного значення ПДВ, сформовану за результатами такої податкової звітності, у зменшення суми податкового боргу з податку, що виник за попередні звітні (податкові) періоди та обліковувався в ІПК станом на перше число місяця, у якому було подано таку декларацію, в частині, що не перевищує реєстраційну суму такого платника на момент отримання контролюючим органом податкової декларації.</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t>Щодо питання</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t>Товариства  не мало право відображати в податковій декларації з ПДВ за вересень 2023 року у рядку 20.1 суму від’ємного значення з ПДВ, яка зараховується у зменшення суми податкового боргу, що виник станом на 02.10.2023.</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sz w:val="24"/>
          <w:szCs w:val="24"/>
          <w:bdr w:val="none" w:sz="0" w:space="0" w:color="auto" w:frame="1"/>
          <w:lang w:eastAsia="uk-UA"/>
        </w:rPr>
        <w:t>При цьому зазначаємо, що достовірність даних, які містяться у податковій декларації з ПДВ може бути встановлена виключно за результатами проведення  відповідних перевірок, встановлених Кодексом.</w:t>
      </w:r>
    </w:p>
    <w:p w:rsidR="004052C6" w:rsidRPr="00A57055" w:rsidRDefault="004052C6" w:rsidP="004052C6">
      <w:pPr>
        <w:spacing w:after="0" w:line="240" w:lineRule="auto"/>
        <w:ind w:firstLine="567"/>
        <w:jc w:val="both"/>
        <w:textAlignment w:val="baseline"/>
        <w:rPr>
          <w:rFonts w:ascii="Times New Roman" w:eastAsia="Times New Roman" w:hAnsi="Times New Roman" w:cs="Times New Roman"/>
          <w:sz w:val="24"/>
          <w:szCs w:val="24"/>
          <w:lang w:eastAsia="uk-UA"/>
        </w:rPr>
      </w:pPr>
      <w:r w:rsidRPr="00A57055">
        <w:rPr>
          <w:rFonts w:ascii="Times New Roman" w:eastAsia="Times New Roman" w:hAnsi="Times New Roman" w:cs="Times New Roman"/>
          <w:color w:val="000000"/>
          <w:sz w:val="24"/>
          <w:szCs w:val="24"/>
          <w:bdr w:val="none" w:sz="0" w:space="0" w:color="auto" w:frame="1"/>
          <w:lang w:eastAsia="uk-UA"/>
        </w:rPr>
        <w:t>Індивідуальна податкова консультація має індивідуальний характер і може використовуватися виключно платником податків, якому надано таку </w:t>
      </w:r>
      <w:r w:rsidRPr="00A57055">
        <w:rPr>
          <w:rFonts w:ascii="Times New Roman" w:eastAsia="Times New Roman" w:hAnsi="Times New Roman" w:cs="Times New Roman"/>
          <w:sz w:val="24"/>
          <w:szCs w:val="24"/>
          <w:bdr w:val="none" w:sz="0" w:space="0" w:color="auto" w:frame="1"/>
          <w:lang w:eastAsia="uk-UA"/>
        </w:rPr>
        <w:t>консультацію (пункт 52.2 статті 52 Кодексу).</w:t>
      </w:r>
    </w:p>
    <w:sectPr w:rsidR="004052C6" w:rsidRPr="00A57055" w:rsidSect="00D013D4">
      <w:headerReference w:type="default" r:id="rId6"/>
      <w:pgSz w:w="11906" w:h="16838"/>
      <w:pgMar w:top="397" w:right="567" w:bottom="39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3D4" w:rsidRDefault="00D013D4" w:rsidP="00D013D4">
      <w:pPr>
        <w:spacing w:after="0" w:line="240" w:lineRule="auto"/>
      </w:pPr>
      <w:r>
        <w:separator/>
      </w:r>
    </w:p>
  </w:endnote>
  <w:endnote w:type="continuationSeparator" w:id="0">
    <w:p w:rsidR="00D013D4" w:rsidRDefault="00D013D4" w:rsidP="00D01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3D4" w:rsidRDefault="00D013D4" w:rsidP="00D013D4">
      <w:pPr>
        <w:spacing w:after="0" w:line="240" w:lineRule="auto"/>
      </w:pPr>
      <w:r>
        <w:separator/>
      </w:r>
    </w:p>
  </w:footnote>
  <w:footnote w:type="continuationSeparator" w:id="0">
    <w:p w:rsidR="00D013D4" w:rsidRDefault="00D013D4" w:rsidP="00D01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0591136"/>
      <w:docPartObj>
        <w:docPartGallery w:val="Page Numbers (Top of Page)"/>
        <w:docPartUnique/>
      </w:docPartObj>
    </w:sdtPr>
    <w:sdtContent>
      <w:p w:rsidR="00D013D4" w:rsidRDefault="00D013D4">
        <w:pPr>
          <w:pStyle w:val="a3"/>
          <w:jc w:val="right"/>
        </w:pPr>
        <w:r>
          <w:fldChar w:fldCharType="begin"/>
        </w:r>
        <w:r>
          <w:instrText>PAGE   \* MERGEFORMAT</w:instrText>
        </w:r>
        <w:r>
          <w:fldChar w:fldCharType="separate"/>
        </w:r>
        <w:r>
          <w:t>2</w:t>
        </w:r>
        <w:r>
          <w:fldChar w:fldCharType="end"/>
        </w:r>
      </w:p>
    </w:sdtContent>
  </w:sdt>
  <w:p w:rsidR="00D013D4" w:rsidRDefault="00D013D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C6"/>
    <w:rsid w:val="000E702A"/>
    <w:rsid w:val="00165AFA"/>
    <w:rsid w:val="004052C6"/>
    <w:rsid w:val="006F1C8B"/>
    <w:rsid w:val="00872437"/>
    <w:rsid w:val="009F7961"/>
    <w:rsid w:val="00A57055"/>
    <w:rsid w:val="00D013D4"/>
    <w:rsid w:val="00E85B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B56ED"/>
  <w15:chartTrackingRefBased/>
  <w15:docId w15:val="{F15F20CB-D068-40A0-94AC-23D7614C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3D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D013D4"/>
  </w:style>
  <w:style w:type="paragraph" w:styleId="a5">
    <w:name w:val="footer"/>
    <w:basedOn w:val="a"/>
    <w:link w:val="a6"/>
    <w:uiPriority w:val="99"/>
    <w:unhideWhenUsed/>
    <w:rsid w:val="00D013D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D01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128588">
      <w:bodyDiv w:val="1"/>
      <w:marLeft w:val="0"/>
      <w:marRight w:val="0"/>
      <w:marTop w:val="0"/>
      <w:marBottom w:val="0"/>
      <w:divBdr>
        <w:top w:val="none" w:sz="0" w:space="0" w:color="auto"/>
        <w:left w:val="none" w:sz="0" w:space="0" w:color="auto"/>
        <w:bottom w:val="none" w:sz="0" w:space="0" w:color="auto"/>
        <w:right w:val="none" w:sz="0" w:space="0" w:color="auto"/>
      </w:divBdr>
      <w:divsChild>
        <w:div w:id="1676034209">
          <w:marLeft w:val="0"/>
          <w:marRight w:val="0"/>
          <w:marTop w:val="0"/>
          <w:marBottom w:val="0"/>
          <w:divBdr>
            <w:top w:val="none" w:sz="0" w:space="0" w:color="auto"/>
            <w:left w:val="none" w:sz="0" w:space="0" w:color="auto"/>
            <w:bottom w:val="none" w:sz="0" w:space="0" w:color="auto"/>
            <w:right w:val="none" w:sz="0" w:space="0" w:color="auto"/>
          </w:divBdr>
          <w:divsChild>
            <w:div w:id="584338292">
              <w:marLeft w:val="0"/>
              <w:marRight w:val="0"/>
              <w:marTop w:val="0"/>
              <w:marBottom w:val="0"/>
              <w:divBdr>
                <w:top w:val="none" w:sz="0" w:space="0" w:color="auto"/>
                <w:left w:val="none" w:sz="0" w:space="0" w:color="auto"/>
                <w:bottom w:val="none" w:sz="0" w:space="0" w:color="auto"/>
                <w:right w:val="none" w:sz="0" w:space="0" w:color="auto"/>
              </w:divBdr>
              <w:divsChild>
                <w:div w:id="2067871324">
                  <w:marLeft w:val="0"/>
                  <w:marRight w:val="0"/>
                  <w:marTop w:val="150"/>
                  <w:marBottom w:val="300"/>
                  <w:divBdr>
                    <w:top w:val="none" w:sz="0" w:space="0" w:color="auto"/>
                    <w:left w:val="none" w:sz="0" w:space="0" w:color="auto"/>
                    <w:bottom w:val="none" w:sz="0" w:space="0" w:color="auto"/>
                    <w:right w:val="none" w:sz="0" w:space="0" w:color="auto"/>
                  </w:divBdr>
                </w:div>
                <w:div w:id="795559766">
                  <w:marLeft w:val="0"/>
                  <w:marRight w:val="0"/>
                  <w:marTop w:val="0"/>
                  <w:marBottom w:val="0"/>
                  <w:divBdr>
                    <w:top w:val="none" w:sz="0" w:space="0" w:color="auto"/>
                    <w:left w:val="none" w:sz="0" w:space="0" w:color="auto"/>
                    <w:bottom w:val="none" w:sz="0" w:space="0" w:color="auto"/>
                    <w:right w:val="none" w:sz="0" w:space="0" w:color="auto"/>
                  </w:divBdr>
                  <w:divsChild>
                    <w:div w:id="2115858975">
                      <w:marLeft w:val="0"/>
                      <w:marRight w:val="0"/>
                      <w:marTop w:val="0"/>
                      <w:marBottom w:val="0"/>
                      <w:divBdr>
                        <w:top w:val="none" w:sz="0" w:space="0" w:color="auto"/>
                        <w:left w:val="none" w:sz="0" w:space="0" w:color="auto"/>
                        <w:bottom w:val="none" w:sz="0" w:space="0" w:color="auto"/>
                        <w:right w:val="none" w:sz="0" w:space="0" w:color="auto"/>
                      </w:divBdr>
                      <w:divsChild>
                        <w:div w:id="2070300590">
                          <w:marLeft w:val="0"/>
                          <w:marRight w:val="0"/>
                          <w:marTop w:val="0"/>
                          <w:marBottom w:val="0"/>
                          <w:divBdr>
                            <w:top w:val="none" w:sz="0" w:space="0" w:color="auto"/>
                            <w:left w:val="none" w:sz="0" w:space="0" w:color="auto"/>
                            <w:bottom w:val="none" w:sz="0" w:space="0" w:color="auto"/>
                            <w:right w:val="none" w:sz="0" w:space="0" w:color="auto"/>
                          </w:divBdr>
                          <w:divsChild>
                            <w:div w:id="219485449">
                              <w:marLeft w:val="0"/>
                              <w:marRight w:val="0"/>
                              <w:marTop w:val="0"/>
                              <w:marBottom w:val="0"/>
                              <w:divBdr>
                                <w:top w:val="none" w:sz="0" w:space="0" w:color="auto"/>
                                <w:left w:val="none" w:sz="0" w:space="0" w:color="auto"/>
                                <w:bottom w:val="none" w:sz="0" w:space="0" w:color="auto"/>
                                <w:right w:val="none" w:sz="0" w:space="0" w:color="auto"/>
                              </w:divBdr>
                            </w:div>
                            <w:div w:id="86660798">
                              <w:marLeft w:val="0"/>
                              <w:marRight w:val="0"/>
                              <w:marTop w:val="0"/>
                              <w:marBottom w:val="0"/>
                              <w:divBdr>
                                <w:top w:val="none" w:sz="0" w:space="0" w:color="auto"/>
                                <w:left w:val="none" w:sz="0" w:space="0" w:color="auto"/>
                                <w:bottom w:val="none" w:sz="0" w:space="0" w:color="auto"/>
                                <w:right w:val="none" w:sz="0" w:space="0" w:color="auto"/>
                              </w:divBdr>
                            </w:div>
                            <w:div w:id="1805006820">
                              <w:marLeft w:val="0"/>
                              <w:marRight w:val="0"/>
                              <w:marTop w:val="0"/>
                              <w:marBottom w:val="0"/>
                              <w:divBdr>
                                <w:top w:val="none" w:sz="0" w:space="0" w:color="auto"/>
                                <w:left w:val="none" w:sz="0" w:space="0" w:color="auto"/>
                                <w:bottom w:val="none" w:sz="0" w:space="0" w:color="auto"/>
                                <w:right w:val="none" w:sz="0" w:space="0" w:color="auto"/>
                              </w:divBdr>
                            </w:div>
                            <w:div w:id="83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6659">
                  <w:marLeft w:val="0"/>
                  <w:marRight w:val="0"/>
                  <w:marTop w:val="0"/>
                  <w:marBottom w:val="0"/>
                  <w:divBdr>
                    <w:top w:val="none" w:sz="0" w:space="0" w:color="auto"/>
                    <w:left w:val="none" w:sz="0" w:space="0" w:color="auto"/>
                    <w:bottom w:val="none" w:sz="0" w:space="0" w:color="auto"/>
                    <w:right w:val="none" w:sz="0" w:space="0" w:color="auto"/>
                  </w:divBdr>
                  <w:divsChild>
                    <w:div w:id="2054108734">
                      <w:marLeft w:val="0"/>
                      <w:marRight w:val="0"/>
                      <w:marTop w:val="0"/>
                      <w:marBottom w:val="0"/>
                      <w:divBdr>
                        <w:top w:val="none" w:sz="0" w:space="0" w:color="auto"/>
                        <w:left w:val="none" w:sz="0" w:space="0" w:color="auto"/>
                        <w:bottom w:val="none" w:sz="0" w:space="0" w:color="auto"/>
                        <w:right w:val="none" w:sz="0" w:space="0" w:color="auto"/>
                      </w:divBdr>
                      <w:divsChild>
                        <w:div w:id="1249116323">
                          <w:marLeft w:val="0"/>
                          <w:marRight w:val="0"/>
                          <w:marTop w:val="0"/>
                          <w:marBottom w:val="0"/>
                          <w:divBdr>
                            <w:top w:val="none" w:sz="0" w:space="0" w:color="auto"/>
                            <w:left w:val="none" w:sz="0" w:space="0" w:color="auto"/>
                            <w:bottom w:val="none" w:sz="0" w:space="0" w:color="auto"/>
                            <w:right w:val="none" w:sz="0" w:space="0" w:color="auto"/>
                          </w:divBdr>
                          <w:divsChild>
                            <w:div w:id="1550606654">
                              <w:marLeft w:val="0"/>
                              <w:marRight w:val="0"/>
                              <w:marTop w:val="0"/>
                              <w:marBottom w:val="0"/>
                              <w:divBdr>
                                <w:top w:val="none" w:sz="0" w:space="0" w:color="auto"/>
                                <w:left w:val="none" w:sz="0" w:space="0" w:color="auto"/>
                                <w:bottom w:val="none" w:sz="0" w:space="0" w:color="auto"/>
                                <w:right w:val="none" w:sz="0" w:space="0" w:color="auto"/>
                              </w:divBdr>
                            </w:div>
                            <w:div w:id="648360625">
                              <w:marLeft w:val="0"/>
                              <w:marRight w:val="0"/>
                              <w:marTop w:val="0"/>
                              <w:marBottom w:val="0"/>
                              <w:divBdr>
                                <w:top w:val="none" w:sz="0" w:space="0" w:color="auto"/>
                                <w:left w:val="none" w:sz="0" w:space="0" w:color="auto"/>
                                <w:bottom w:val="none" w:sz="0" w:space="0" w:color="auto"/>
                                <w:right w:val="none" w:sz="0" w:space="0" w:color="auto"/>
                              </w:divBdr>
                            </w:div>
                            <w:div w:id="1131897304">
                              <w:marLeft w:val="0"/>
                              <w:marRight w:val="0"/>
                              <w:marTop w:val="0"/>
                              <w:marBottom w:val="0"/>
                              <w:divBdr>
                                <w:top w:val="none" w:sz="0" w:space="0" w:color="auto"/>
                                <w:left w:val="none" w:sz="0" w:space="0" w:color="auto"/>
                                <w:bottom w:val="none" w:sz="0" w:space="0" w:color="auto"/>
                                <w:right w:val="none" w:sz="0" w:space="0" w:color="auto"/>
                              </w:divBdr>
                            </w:div>
                            <w:div w:id="11253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10812">
                  <w:marLeft w:val="0"/>
                  <w:marRight w:val="0"/>
                  <w:marTop w:val="0"/>
                  <w:marBottom w:val="0"/>
                  <w:divBdr>
                    <w:top w:val="none" w:sz="0" w:space="0" w:color="auto"/>
                    <w:left w:val="none" w:sz="0" w:space="0" w:color="auto"/>
                    <w:bottom w:val="none" w:sz="0" w:space="0" w:color="auto"/>
                    <w:right w:val="none" w:sz="0" w:space="0" w:color="auto"/>
                  </w:divBdr>
                  <w:divsChild>
                    <w:div w:id="131100186">
                      <w:marLeft w:val="0"/>
                      <w:marRight w:val="0"/>
                      <w:marTop w:val="0"/>
                      <w:marBottom w:val="0"/>
                      <w:divBdr>
                        <w:top w:val="none" w:sz="0" w:space="0" w:color="auto"/>
                        <w:left w:val="none" w:sz="0" w:space="0" w:color="auto"/>
                        <w:bottom w:val="none" w:sz="0" w:space="0" w:color="auto"/>
                        <w:right w:val="none" w:sz="0" w:space="0" w:color="auto"/>
                      </w:divBdr>
                      <w:divsChild>
                        <w:div w:id="2083872675">
                          <w:marLeft w:val="0"/>
                          <w:marRight w:val="0"/>
                          <w:marTop w:val="0"/>
                          <w:marBottom w:val="0"/>
                          <w:divBdr>
                            <w:top w:val="none" w:sz="0" w:space="0" w:color="auto"/>
                            <w:left w:val="none" w:sz="0" w:space="0" w:color="auto"/>
                            <w:bottom w:val="none" w:sz="0" w:space="0" w:color="auto"/>
                            <w:right w:val="none" w:sz="0" w:space="0" w:color="auto"/>
                          </w:divBdr>
                          <w:divsChild>
                            <w:div w:id="178784302">
                              <w:marLeft w:val="0"/>
                              <w:marRight w:val="0"/>
                              <w:marTop w:val="0"/>
                              <w:marBottom w:val="0"/>
                              <w:divBdr>
                                <w:top w:val="none" w:sz="0" w:space="0" w:color="auto"/>
                                <w:left w:val="none" w:sz="0" w:space="0" w:color="auto"/>
                                <w:bottom w:val="none" w:sz="0" w:space="0" w:color="auto"/>
                                <w:right w:val="none" w:sz="0" w:space="0" w:color="auto"/>
                              </w:divBdr>
                            </w:div>
                            <w:div w:id="1358506720">
                              <w:marLeft w:val="0"/>
                              <w:marRight w:val="0"/>
                              <w:marTop w:val="0"/>
                              <w:marBottom w:val="0"/>
                              <w:divBdr>
                                <w:top w:val="none" w:sz="0" w:space="0" w:color="auto"/>
                                <w:left w:val="none" w:sz="0" w:space="0" w:color="auto"/>
                                <w:bottom w:val="none" w:sz="0" w:space="0" w:color="auto"/>
                                <w:right w:val="none" w:sz="0" w:space="0" w:color="auto"/>
                              </w:divBdr>
                            </w:div>
                            <w:div w:id="1782802060">
                              <w:marLeft w:val="0"/>
                              <w:marRight w:val="0"/>
                              <w:marTop w:val="0"/>
                              <w:marBottom w:val="0"/>
                              <w:divBdr>
                                <w:top w:val="none" w:sz="0" w:space="0" w:color="auto"/>
                                <w:left w:val="none" w:sz="0" w:space="0" w:color="auto"/>
                                <w:bottom w:val="none" w:sz="0" w:space="0" w:color="auto"/>
                                <w:right w:val="none" w:sz="0" w:space="0" w:color="auto"/>
                              </w:divBdr>
                            </w:div>
                            <w:div w:id="55897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4790</Words>
  <Characters>2731</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КУЗЬМІНА НАТАЛІЯ ПЕТРІВНА</cp:lastModifiedBy>
  <cp:revision>5</cp:revision>
  <cp:lastPrinted>2026-06-04T09:00:00Z</cp:lastPrinted>
  <dcterms:created xsi:type="dcterms:W3CDTF">2026-05-22T08:03:00Z</dcterms:created>
  <dcterms:modified xsi:type="dcterms:W3CDTF">2026-06-04T09:00:00Z</dcterms:modified>
</cp:coreProperties>
</file>